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vertAnchor="text" w:tblpY="1"/>
        <w:tblOverlap w:val="never"/>
        <w:tblW w:w="0" w:type="auto"/>
        <w:tblLayout w:type="fixed"/>
        <w:tblCellMar>
          <w:left w:w="0" w:type="dxa"/>
          <w:right w:w="0" w:type="dxa"/>
        </w:tblCellMar>
        <w:tblLook w:val="04A0" w:firstRow="1" w:lastRow="0" w:firstColumn="1" w:lastColumn="0" w:noHBand="0" w:noVBand="1"/>
      </w:tblPr>
      <w:tblGrid>
        <w:gridCol w:w="7128"/>
      </w:tblGrid>
      <w:tr w:rsidR="00AD3EC8" w:rsidRPr="00603F44" w:rsidTr="00656006">
        <w:trPr>
          <w:trHeight w:val="1728"/>
        </w:trPr>
        <w:tc>
          <w:tcPr>
            <w:tcW w:w="7128" w:type="dxa"/>
            <w:tcBorders>
              <w:top w:val="nil"/>
              <w:left w:val="nil"/>
              <w:bottom w:val="nil"/>
              <w:right w:val="nil"/>
            </w:tcBorders>
            <w:tcMar>
              <w:bottom w:w="648" w:type="dxa"/>
            </w:tcMar>
          </w:tcPr>
          <w:p w:rsidR="00364A6E" w:rsidRDefault="00B7709C" w:rsidP="00CA730C">
            <w:pPr>
              <w:pStyle w:val="hpeheadline1"/>
            </w:pPr>
            <w:r>
              <w:t>Recovery Manager Central</w:t>
            </w:r>
          </w:p>
          <w:p w:rsidR="00377CD5" w:rsidRDefault="00B7709C" w:rsidP="00377CD5">
            <w:pPr>
              <w:pStyle w:val="hpeheadline2"/>
              <w:framePr w:wrap="auto" w:vAnchor="margin" w:yAlign="inline"/>
              <w:suppressOverlap w:val="0"/>
            </w:pPr>
            <w:r>
              <w:t>Total Cost of Ownership Report</w:t>
            </w:r>
            <w:r w:rsidR="00C951C6">
              <w:t xml:space="preserve"> for</w:t>
            </w:r>
          </w:p>
          <w:p w:rsidR="00B7709C" w:rsidRPr="00377CD5" w:rsidRDefault="00190EDF" w:rsidP="00377CD5">
            <w:pPr>
              <w:pStyle w:val="hpeheadline2"/>
              <w:framePr w:wrap="auto" w:vAnchor="margin" w:yAlign="inline"/>
              <w:suppressOverlap w:val="0"/>
            </w:pPr>
            <w:proofErr w:type="spellStart"/>
            <w:r>
              <w:t>CustomerY</w:t>
            </w:r>
            <w:proofErr w:type="spellEnd"/>
          </w:p>
        </w:tc>
      </w:tr>
      <w:tr w:rsidR="00AD3EC8" w:rsidRPr="00603F44" w:rsidTr="00656006">
        <w:trPr>
          <w:trHeight w:hRule="exact" w:val="173"/>
        </w:trPr>
        <w:tc>
          <w:tcPr>
            <w:tcW w:w="7128" w:type="dxa"/>
            <w:tcBorders>
              <w:top w:val="single" w:sz="2" w:space="0" w:color="auto"/>
              <w:left w:val="nil"/>
              <w:bottom w:val="nil"/>
              <w:right w:val="nil"/>
            </w:tcBorders>
          </w:tcPr>
          <w:p w:rsidR="00AD3EC8" w:rsidRPr="00603F44" w:rsidRDefault="00AD3EC8" w:rsidP="00CA730C">
            <w:pPr>
              <w:pStyle w:val="hpebodycopyARIAL"/>
            </w:pPr>
          </w:p>
        </w:tc>
      </w:tr>
    </w:tbl>
    <w:p w:rsidR="00AD3EC8" w:rsidRDefault="006E26A0" w:rsidP="00603F44">
      <w:pPr>
        <w:pStyle w:val="hpeintroduction"/>
      </w:pPr>
      <w:r w:rsidRPr="00603F44">
        <w:rPr>
          <w:noProof/>
        </w:rPr>
        <mc:AlternateContent>
          <mc:Choice Requires="wps">
            <w:drawing>
              <wp:anchor distT="0" distB="0" distL="114300" distR="114300" simplePos="0" relativeHeight="251655168" behindDoc="0" locked="0" layoutInCell="1" allowOverlap="1" wp14:anchorId="37C2A98E" wp14:editId="41EF7651">
                <wp:simplePos x="0" y="0"/>
                <wp:positionH relativeFrom="page">
                  <wp:posOffset>5120640</wp:posOffset>
                </wp:positionH>
                <wp:positionV relativeFrom="margin">
                  <wp:align>top</wp:align>
                </wp:positionV>
                <wp:extent cx="2194560" cy="6172200"/>
                <wp:effectExtent l="0" t="0" r="0" b="0"/>
                <wp:wrapNone/>
                <wp:docPr id="212"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4560" cy="6172200"/>
                        </a:xfrm>
                        <a:prstGeom prst="rect">
                          <a:avLst/>
                        </a:prstGeom>
                        <a:noFill/>
                        <a:ln w="15875">
                          <a:noFill/>
                        </a:ln>
                        <a:extLst/>
                      </wps:spPr>
                      <wps:style>
                        <a:lnRef idx="0">
                          <a:scrgbClr r="0" g="0" b="0"/>
                        </a:lnRef>
                        <a:fillRef idx="1002">
                          <a:schemeClr val="lt2"/>
                        </a:fillRef>
                        <a:effectRef idx="0">
                          <a:scrgbClr r="0" g="0" b="0"/>
                        </a:effectRef>
                        <a:fontRef idx="major"/>
                      </wps:style>
                      <wps:txbx>
                        <w:txbxContent>
                          <w:p w:rsidR="00B7709C" w:rsidRDefault="00B7709C" w:rsidP="006A1753">
                            <w:pPr>
                              <w:pStyle w:val="hpecalloutheader"/>
                            </w:pPr>
                            <w:r>
                              <w:t>June 6, 2016</w:t>
                            </w:r>
                          </w:p>
                          <w:p w:rsidR="00B7709C" w:rsidRDefault="00B7709C" w:rsidP="006A1753">
                            <w:pPr>
                              <w:pStyle w:val="hpecalloutheader"/>
                            </w:pPr>
                          </w:p>
                          <w:p w:rsidR="006A1753" w:rsidRDefault="00B7709C" w:rsidP="006A1753">
                            <w:pPr>
                              <w:pStyle w:val="hpecalloutheader"/>
                            </w:pPr>
                            <w:r>
                              <w:t>Prepared By</w:t>
                            </w:r>
                          </w:p>
                          <w:p w:rsidR="006A1753" w:rsidRDefault="00190EDF" w:rsidP="006A1753">
                            <w:pPr>
                              <w:pStyle w:val="hpecallouttext"/>
                            </w:pPr>
                            <w:r>
                              <w:t>xxxx</w:t>
                            </w:r>
                            <w:r w:rsidR="00B7709C">
                              <w:t>@hpe.com</w:t>
                            </w:r>
                          </w:p>
                          <w:p w:rsidR="00B7709C" w:rsidRDefault="00B7709C" w:rsidP="006A1753">
                            <w:pPr>
                              <w:pStyle w:val="hpecallouttext"/>
                            </w:pPr>
                          </w:p>
                          <w:p w:rsidR="00B7709C" w:rsidRDefault="00B7709C" w:rsidP="006A1753">
                            <w:pPr>
                              <w:pStyle w:val="hpecallouttext"/>
                            </w:pPr>
                            <w:r>
                              <w:t>&lt;Insert Presenter Name&gt;</w:t>
                            </w:r>
                          </w:p>
                          <w:p w:rsidR="00B7709C" w:rsidRDefault="00B7709C" w:rsidP="006A1753">
                            <w:pPr>
                              <w:pStyle w:val="hpecallouttext"/>
                            </w:pPr>
                          </w:p>
                          <w:p w:rsidR="00B7709C" w:rsidRDefault="00B7709C" w:rsidP="006A1753">
                            <w:pPr>
                              <w:pStyle w:val="hpecallouttext"/>
                            </w:pPr>
                            <w:r>
                              <w:t>&lt;</w:t>
                            </w:r>
                            <w:proofErr w:type="gramStart"/>
                            <w:r>
                              <w:t>insert</w:t>
                            </w:r>
                            <w:proofErr w:type="gramEnd"/>
                            <w:r>
                              <w:t xml:space="preserve"> Presenter Title&gt;</w:t>
                            </w:r>
                          </w:p>
                          <w:p w:rsidR="00B7709C" w:rsidRDefault="00B7709C" w:rsidP="006A1753">
                            <w:pPr>
                              <w:pStyle w:val="hpecallouttext"/>
                            </w:pPr>
                          </w:p>
                          <w:p w:rsidR="006E26A0" w:rsidRDefault="006E26A0" w:rsidP="006A1753">
                            <w:pPr>
                              <w:pStyle w:val="hpecallouttext"/>
                            </w:pPr>
                          </w:p>
                          <w:p w:rsidR="00780B65" w:rsidRDefault="00780B65" w:rsidP="006A1753">
                            <w:pPr>
                              <w:pStyle w:val="hpecallouttext"/>
                            </w:pPr>
                          </w:p>
                          <w:p w:rsidR="00780B65" w:rsidRDefault="00780B65" w:rsidP="006A1753">
                            <w:pPr>
                              <w:pStyle w:val="hpecallouttext"/>
                            </w:pPr>
                          </w:p>
                          <w:p w:rsidR="00780B65" w:rsidRDefault="00780B65" w:rsidP="006A1753">
                            <w:pPr>
                              <w:pStyle w:val="hpecallouttext"/>
                            </w:pPr>
                          </w:p>
                          <w:p w:rsidR="00780B65" w:rsidRDefault="00780B65" w:rsidP="006A1753">
                            <w:pPr>
                              <w:pStyle w:val="hpecallouttext"/>
                            </w:pPr>
                          </w:p>
                          <w:p w:rsidR="00780B65" w:rsidRDefault="00780B65" w:rsidP="006A1753">
                            <w:pPr>
                              <w:pStyle w:val="hpecallouttext"/>
                            </w:pPr>
                          </w:p>
                          <w:p w:rsidR="00780B65" w:rsidRDefault="00780B65" w:rsidP="006A1753">
                            <w:pPr>
                              <w:pStyle w:val="hpecallouttext"/>
                            </w:pPr>
                          </w:p>
                          <w:p w:rsidR="00780B65" w:rsidRDefault="00780B65" w:rsidP="006A1753">
                            <w:pPr>
                              <w:pStyle w:val="hpecallouttext"/>
                            </w:pPr>
                          </w:p>
                          <w:p w:rsidR="00780B65" w:rsidRDefault="00780B65" w:rsidP="006A1753">
                            <w:pPr>
                              <w:pStyle w:val="hpecallouttext"/>
                            </w:pPr>
                          </w:p>
                          <w:p w:rsidR="00780B65" w:rsidRDefault="00780B65" w:rsidP="006A1753">
                            <w:pPr>
                              <w:pStyle w:val="hpecallouttext"/>
                            </w:pPr>
                          </w:p>
                          <w:p w:rsidR="00780B65" w:rsidRDefault="00780B65" w:rsidP="006A1753">
                            <w:pPr>
                              <w:pStyle w:val="hpecallouttext"/>
                            </w:pPr>
                          </w:p>
                          <w:p w:rsidR="00780B65" w:rsidRDefault="00780B65" w:rsidP="006A1753">
                            <w:pPr>
                              <w:pStyle w:val="hpecallouttext"/>
                            </w:pPr>
                          </w:p>
                          <w:p w:rsidR="00780B65" w:rsidRDefault="00780B65" w:rsidP="006A1753">
                            <w:pPr>
                              <w:pStyle w:val="hpecallouttext"/>
                            </w:pPr>
                          </w:p>
                          <w:p w:rsidR="00780B65" w:rsidRDefault="00780B65" w:rsidP="006A1753">
                            <w:pPr>
                              <w:pStyle w:val="hpecallouttext"/>
                            </w:pPr>
                          </w:p>
                          <w:p w:rsidR="00780B65" w:rsidRDefault="00780B65" w:rsidP="006A1753">
                            <w:pPr>
                              <w:pStyle w:val="hpecallouttext"/>
                            </w:pPr>
                            <w:r>
                              <w:t xml:space="preserve">                               </w:t>
                            </w:r>
                            <w:r w:rsidRPr="008F759C">
                              <w:rPr>
                                <w:rStyle w:val="IntenseEmphasis"/>
                                <w:rFonts w:ascii="HP Simplified" w:hAnsi="HP Simplified" w:cs="Times New Roman"/>
                                <w:b w:val="0"/>
                                <w:i w:val="0"/>
                                <w:noProof/>
                              </w:rPr>
                              <w:drawing>
                                <wp:inline distT="0" distB="0" distL="0" distR="0" wp14:anchorId="3C2D211D" wp14:editId="2A5C1F1E">
                                  <wp:extent cx="685800" cy="685800"/>
                                  <wp:effectExtent l="0" t="0" r="0" b="0"/>
                                  <wp:docPr id="5" name="Picture 5" descr="C:\Aditi_Data\SizerAdviser\HPE_Branding\xeon_k_4c_075.122x122inc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diti_Data\SizerAdviser\HPE_Branding\xeon_k_4c_075.122x122inch.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p>
                          <w:p w:rsidR="00780B65" w:rsidRDefault="00780B65" w:rsidP="006A1753">
                            <w:pPr>
                              <w:pStyle w:val="hpecallouttext"/>
                            </w:pPr>
                          </w:p>
                          <w:p w:rsidR="00780B65" w:rsidRPr="003F0CCF" w:rsidRDefault="00780B65" w:rsidP="00780B65">
                            <w:pPr>
                              <w:pStyle w:val="NoSpacing"/>
                              <w:jc w:val="center"/>
                              <w:rPr>
                                <w:rFonts w:ascii="HP Simplified" w:hAnsi="HP Simplified"/>
                                <w:sz w:val="18"/>
                                <w:szCs w:val="18"/>
                              </w:rPr>
                            </w:pPr>
                            <w:r w:rsidRPr="003F0CCF">
                              <w:rPr>
                                <w:rFonts w:ascii="HP Simplified" w:hAnsi="HP Simplified"/>
                                <w:sz w:val="18"/>
                                <w:szCs w:val="18"/>
                              </w:rPr>
                              <w:t>HP</w:t>
                            </w:r>
                            <w:r>
                              <w:rPr>
                                <w:rFonts w:ascii="HP Simplified" w:hAnsi="HP Simplified"/>
                                <w:sz w:val="18"/>
                                <w:szCs w:val="18"/>
                              </w:rPr>
                              <w:t>E</w:t>
                            </w:r>
                            <w:r w:rsidRPr="003F0CCF">
                              <w:rPr>
                                <w:rFonts w:ascii="HP Simplified" w:hAnsi="HP Simplified"/>
                                <w:sz w:val="18"/>
                                <w:szCs w:val="18"/>
                              </w:rPr>
                              <w:t xml:space="preserve"> StoreOnce powered by</w:t>
                            </w:r>
                          </w:p>
                          <w:p w:rsidR="00780B65" w:rsidRPr="00AD3EC8" w:rsidRDefault="00780B65" w:rsidP="00780B65">
                            <w:pPr>
                              <w:pStyle w:val="hpecallouttext"/>
                              <w:jc w:val="center"/>
                            </w:pPr>
                            <w:r w:rsidRPr="003F0CCF">
                              <w:rPr>
                                <w:rFonts w:ascii="HP Simplified" w:hAnsi="HP Simplified"/>
                                <w:sz w:val="18"/>
                                <w:szCs w:val="18"/>
                              </w:rPr>
                              <w:t>Intel ® Xeon® processor</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7C2A98E" id="AutoShape 14" o:spid="_x0000_s1026" style="position:absolute;margin-left:403.2pt;margin-top:0;width:172.8pt;height:486pt;z-index:251655168;visibility:visible;mso-wrap-style:square;mso-width-percent:0;mso-height-percent:0;mso-wrap-distance-left:9pt;mso-wrap-distance-top:0;mso-wrap-distance-right:9pt;mso-wrap-distance-bottom:0;mso-position-horizontal:absolute;mso-position-horizontal-relative:page;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" filled="f" stroked="f" strokeweight="1.25pt">
                <v:textbox inset="0,0,0,0">
                  <w:txbxContent>
                    <w:p w:rsidR="00B7709C" w:rsidRDefault="00B7709C" w:rsidP="006A1753">
                      <w:pPr>
                        <w:pStyle w:val="hpecalloutheader"/>
                      </w:pPr>
                      <w:r>
                        <w:t>June 6, 2016</w:t>
                      </w:r>
                    </w:p>
                    <w:p w:rsidR="00B7709C" w:rsidRDefault="00B7709C" w:rsidP="006A1753">
                      <w:pPr>
                        <w:pStyle w:val="hpecalloutheader"/>
                      </w:pPr>
                    </w:p>
                    <w:p w:rsidR="006A1753" w:rsidRDefault="00B7709C" w:rsidP="006A1753">
                      <w:pPr>
                        <w:pStyle w:val="hpecalloutheader"/>
                      </w:pPr>
                      <w:r>
                        <w:t>Prepared By</w:t>
                      </w:r>
                    </w:p>
                    <w:p w:rsidR="006A1753" w:rsidRDefault="00190EDF" w:rsidP="006A1753">
                      <w:pPr>
                        <w:pStyle w:val="hpecallouttext"/>
                      </w:pPr>
                      <w:r>
                        <w:t>xxxx</w:t>
                      </w:r>
                      <w:r w:rsidR="00B7709C">
                        <w:t>@hpe.com</w:t>
                      </w:r>
                    </w:p>
                    <w:p w:rsidR="00B7709C" w:rsidRDefault="00B7709C" w:rsidP="006A1753">
                      <w:pPr>
                        <w:pStyle w:val="hpecallouttext"/>
                      </w:pPr>
                    </w:p>
                    <w:p w:rsidR="00B7709C" w:rsidRDefault="00B7709C" w:rsidP="006A1753">
                      <w:pPr>
                        <w:pStyle w:val="hpecallouttext"/>
                      </w:pPr>
                      <w:r>
                        <w:t>&lt;Insert Presenter Name&gt;</w:t>
                      </w:r>
                    </w:p>
                    <w:p w:rsidR="00B7709C" w:rsidRDefault="00B7709C" w:rsidP="006A1753">
                      <w:pPr>
                        <w:pStyle w:val="hpecallouttext"/>
                      </w:pPr>
                    </w:p>
                    <w:p w:rsidR="00B7709C" w:rsidRDefault="00B7709C" w:rsidP="006A1753">
                      <w:pPr>
                        <w:pStyle w:val="hpecallouttext"/>
                      </w:pPr>
                      <w:r>
                        <w:t>&lt;</w:t>
                      </w:r>
                      <w:proofErr w:type="gramStart"/>
                      <w:r>
                        <w:t>insert</w:t>
                      </w:r>
                      <w:proofErr w:type="gramEnd"/>
                      <w:r>
                        <w:t xml:space="preserve"> Presenter Title&gt;</w:t>
                      </w:r>
                    </w:p>
                    <w:p w:rsidR="00B7709C" w:rsidRDefault="00B7709C" w:rsidP="006A1753">
                      <w:pPr>
                        <w:pStyle w:val="hpecallouttext"/>
                      </w:pPr>
                    </w:p>
                    <w:p w:rsidR="006E26A0" w:rsidRDefault="006E26A0" w:rsidP="006A1753">
                      <w:pPr>
                        <w:pStyle w:val="hpecallouttext"/>
                      </w:pPr>
                    </w:p>
                    <w:p w:rsidR="00780B65" w:rsidRDefault="00780B65" w:rsidP="006A1753">
                      <w:pPr>
                        <w:pStyle w:val="hpecallouttext"/>
                      </w:pPr>
                    </w:p>
                    <w:p w:rsidR="00780B65" w:rsidRDefault="00780B65" w:rsidP="006A1753">
                      <w:pPr>
                        <w:pStyle w:val="hpecallouttext"/>
                      </w:pPr>
                    </w:p>
                    <w:p w:rsidR="00780B65" w:rsidRDefault="00780B65" w:rsidP="006A1753">
                      <w:pPr>
                        <w:pStyle w:val="hpecallouttext"/>
                      </w:pPr>
                    </w:p>
                    <w:p w:rsidR="00780B65" w:rsidRDefault="00780B65" w:rsidP="006A1753">
                      <w:pPr>
                        <w:pStyle w:val="hpecallouttext"/>
                      </w:pPr>
                    </w:p>
                    <w:p w:rsidR="00780B65" w:rsidRDefault="00780B65" w:rsidP="006A1753">
                      <w:pPr>
                        <w:pStyle w:val="hpecallouttext"/>
                      </w:pPr>
                    </w:p>
                    <w:p w:rsidR="00780B65" w:rsidRDefault="00780B65" w:rsidP="006A1753">
                      <w:pPr>
                        <w:pStyle w:val="hpecallouttext"/>
                      </w:pPr>
                    </w:p>
                    <w:p w:rsidR="00780B65" w:rsidRDefault="00780B65" w:rsidP="006A1753">
                      <w:pPr>
                        <w:pStyle w:val="hpecallouttext"/>
                      </w:pPr>
                    </w:p>
                    <w:p w:rsidR="00780B65" w:rsidRDefault="00780B65" w:rsidP="006A1753">
                      <w:pPr>
                        <w:pStyle w:val="hpecallouttext"/>
                      </w:pPr>
                    </w:p>
                    <w:p w:rsidR="00780B65" w:rsidRDefault="00780B65" w:rsidP="006A1753">
                      <w:pPr>
                        <w:pStyle w:val="hpecallouttext"/>
                      </w:pPr>
                    </w:p>
                    <w:p w:rsidR="00780B65" w:rsidRDefault="00780B65" w:rsidP="006A1753">
                      <w:pPr>
                        <w:pStyle w:val="hpecallouttext"/>
                      </w:pPr>
                    </w:p>
                    <w:p w:rsidR="00780B65" w:rsidRDefault="00780B65" w:rsidP="006A1753">
                      <w:pPr>
                        <w:pStyle w:val="hpecallouttext"/>
                      </w:pPr>
                    </w:p>
                    <w:p w:rsidR="00780B65" w:rsidRDefault="00780B65" w:rsidP="006A1753">
                      <w:pPr>
                        <w:pStyle w:val="hpecallouttext"/>
                      </w:pPr>
                    </w:p>
                    <w:p w:rsidR="00780B65" w:rsidRDefault="00780B65" w:rsidP="006A1753">
                      <w:pPr>
                        <w:pStyle w:val="hpecallouttext"/>
                      </w:pPr>
                    </w:p>
                    <w:p w:rsidR="00780B65" w:rsidRDefault="00780B65" w:rsidP="006A1753">
                      <w:pPr>
                        <w:pStyle w:val="hpecallouttext"/>
                      </w:pPr>
                      <w:r>
                        <w:t xml:space="preserve">                               </w:t>
                      </w:r>
                      <w:r w:rsidRPr="008F759C">
                        <w:rPr>
                          <w:rStyle w:val="IntenseEmphasis"/>
                          <w:rFonts w:ascii="HP Simplified" w:hAnsi="HP Simplified" w:cs="Times New Roman"/>
                          <w:b w:val="0"/>
                          <w:i w:val="0"/>
                          <w:noProof/>
                        </w:rPr>
                        <w:drawing>
                          <wp:inline distT="0" distB="0" distL="0" distR="0" wp14:anchorId="3C2D211D" wp14:editId="2A5C1F1E">
                            <wp:extent cx="685800" cy="685800"/>
                            <wp:effectExtent l="0" t="0" r="0" b="0"/>
                            <wp:docPr id="5" name="Picture 5" descr="C:\Aditi_Data\SizerAdviser\HPE_Branding\xeon_k_4c_075.122x122inc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diti_Data\SizerAdviser\HPE_Branding\xeon_k_4c_075.122x122inch.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p>
                    <w:p w:rsidR="00780B65" w:rsidRDefault="00780B65" w:rsidP="006A1753">
                      <w:pPr>
                        <w:pStyle w:val="hpecallouttext"/>
                      </w:pPr>
                    </w:p>
                    <w:p w:rsidR="00780B65" w:rsidRPr="003F0CCF" w:rsidRDefault="00780B65" w:rsidP="00780B65">
                      <w:pPr>
                        <w:pStyle w:val="NoSpacing"/>
                        <w:jc w:val="center"/>
                        <w:rPr>
                          <w:rFonts w:ascii="HP Simplified" w:hAnsi="HP Simplified"/>
                          <w:sz w:val="18"/>
                          <w:szCs w:val="18"/>
                        </w:rPr>
                      </w:pPr>
                      <w:r w:rsidRPr="003F0CCF">
                        <w:rPr>
                          <w:rFonts w:ascii="HP Simplified" w:hAnsi="HP Simplified"/>
                          <w:sz w:val="18"/>
                          <w:szCs w:val="18"/>
                        </w:rPr>
                        <w:t>HP</w:t>
                      </w:r>
                      <w:r>
                        <w:rPr>
                          <w:rFonts w:ascii="HP Simplified" w:hAnsi="HP Simplified"/>
                          <w:sz w:val="18"/>
                          <w:szCs w:val="18"/>
                        </w:rPr>
                        <w:t>E</w:t>
                      </w:r>
                      <w:r w:rsidRPr="003F0CCF">
                        <w:rPr>
                          <w:rFonts w:ascii="HP Simplified" w:hAnsi="HP Simplified"/>
                          <w:sz w:val="18"/>
                          <w:szCs w:val="18"/>
                        </w:rPr>
                        <w:t xml:space="preserve"> StoreOnce powered by</w:t>
                      </w:r>
                    </w:p>
                    <w:p w:rsidR="00780B65" w:rsidRPr="00AD3EC8" w:rsidRDefault="00780B65" w:rsidP="00780B65">
                      <w:pPr>
                        <w:pStyle w:val="hpecallouttext"/>
                        <w:jc w:val="center"/>
                      </w:pPr>
                      <w:r w:rsidRPr="003F0CCF">
                        <w:rPr>
                          <w:rFonts w:ascii="HP Simplified" w:hAnsi="HP Simplified"/>
                          <w:sz w:val="18"/>
                          <w:szCs w:val="18"/>
                        </w:rPr>
                        <w:t>Intel ® Xeon® processor</w:t>
                      </w:r>
                    </w:p>
                  </w:txbxContent>
                </v:textbox>
                <w10:wrap anchorx="page" anchory="margin"/>
              </v:rect>
            </w:pict>
          </mc:Fallback>
        </mc:AlternateContent>
      </w:r>
      <w:r w:rsidR="00B7709C" w:rsidRPr="00B7709C">
        <w:rPr>
          <w:noProof/>
        </w:rPr>
        <w:t xml:space="preserve">This report gives an estimate of the cost savings that </w:t>
      </w:r>
      <w:r w:rsidR="00B635FD">
        <w:rPr>
          <w:noProof/>
        </w:rPr>
        <w:t>CustomerY</w:t>
      </w:r>
      <w:r w:rsidR="00B7709C" w:rsidRPr="00B7709C">
        <w:rPr>
          <w:noProof/>
        </w:rPr>
        <w:t xml:space="preserve"> can achieve by implementing a hybrid backup scheme using both Recovery Manager Central (RMC) and your existing backup application. This analysis is based on data collected from </w:t>
      </w:r>
      <w:r w:rsidR="00B635FD">
        <w:rPr>
          <w:noProof/>
        </w:rPr>
        <w:t>CustomerY</w:t>
      </w:r>
      <w:r w:rsidR="00B7709C">
        <w:rPr>
          <w:noProof/>
        </w:rPr>
        <w:t>’s backup environment</w:t>
      </w:r>
      <w:r w:rsidR="00AD3EC8" w:rsidRPr="00603F44">
        <w:t>.</w:t>
      </w:r>
    </w:p>
    <w:p w:rsidR="00B7709C" w:rsidRDefault="00B7709C" w:rsidP="00603F44">
      <w:pPr>
        <w:pStyle w:val="hpeintroduction"/>
      </w:pPr>
    </w:p>
    <w:p w:rsidR="008039F1" w:rsidRDefault="00B7709C" w:rsidP="00B7709C">
      <w:pPr>
        <w:pStyle w:val="hpeintroduction"/>
        <w:rPr>
          <w:b/>
          <w:sz w:val="32"/>
          <w:szCs w:val="32"/>
        </w:rPr>
      </w:pPr>
      <w:r>
        <w:rPr>
          <w:b/>
          <w:sz w:val="32"/>
          <w:szCs w:val="32"/>
        </w:rPr>
        <w:t>Key Findings</w:t>
      </w:r>
    </w:p>
    <w:tbl>
      <w:tblPr>
        <w:tblStyle w:val="NPPTable"/>
        <w:tblW w:w="8175" w:type="dxa"/>
        <w:tblLook w:val="0420" w:firstRow="1" w:lastRow="0" w:firstColumn="0" w:lastColumn="0" w:noHBand="0" w:noVBand="1"/>
      </w:tblPr>
      <w:tblGrid>
        <w:gridCol w:w="2725"/>
        <w:gridCol w:w="2725"/>
        <w:gridCol w:w="2725"/>
      </w:tblGrid>
      <w:tr w:rsidR="008039F1" w:rsidRPr="00F30B27" w:rsidTr="00F82E02">
        <w:trPr>
          <w:cnfStyle w:val="100000000000" w:firstRow="1" w:lastRow="0" w:firstColumn="0" w:lastColumn="0" w:oddVBand="0" w:evenVBand="0" w:oddHBand="0" w:evenHBand="0" w:firstRowFirstColumn="0" w:firstRowLastColumn="0" w:lastRowFirstColumn="0" w:lastRowLastColumn="0"/>
          <w:trHeight w:hRule="exact" w:val="20"/>
        </w:trPr>
        <w:tc>
          <w:tcPr>
            <w:tcW w:w="1667" w:type="pct"/>
          </w:tcPr>
          <w:p w:rsidR="008039F1" w:rsidRPr="00F30B27" w:rsidRDefault="008039F1" w:rsidP="00F82E02">
            <w:pPr>
              <w:pStyle w:val="hpetableheads"/>
              <w:spacing w:line="240" w:lineRule="auto"/>
              <w:rPr>
                <w:rFonts w:cs="Arial"/>
                <w:sz w:val="18"/>
                <w:szCs w:val="18"/>
              </w:rPr>
            </w:pPr>
          </w:p>
        </w:tc>
        <w:tc>
          <w:tcPr>
            <w:tcW w:w="1667" w:type="pct"/>
          </w:tcPr>
          <w:p w:rsidR="008039F1" w:rsidRPr="00F30B27" w:rsidRDefault="008039F1" w:rsidP="00F82E02">
            <w:pPr>
              <w:pStyle w:val="hpetableheads"/>
              <w:spacing w:line="240" w:lineRule="auto"/>
              <w:rPr>
                <w:rFonts w:cs="Arial"/>
                <w:sz w:val="18"/>
                <w:szCs w:val="18"/>
              </w:rPr>
            </w:pPr>
          </w:p>
        </w:tc>
        <w:tc>
          <w:tcPr>
            <w:tcW w:w="1667" w:type="pct"/>
          </w:tcPr>
          <w:p w:rsidR="008039F1" w:rsidRPr="00F30B27" w:rsidRDefault="008039F1" w:rsidP="00F82E02">
            <w:pPr>
              <w:pStyle w:val="hpetableheads"/>
              <w:spacing w:line="240" w:lineRule="auto"/>
              <w:rPr>
                <w:rFonts w:cs="Arial"/>
                <w:sz w:val="18"/>
                <w:szCs w:val="18"/>
              </w:rPr>
            </w:pPr>
          </w:p>
        </w:tc>
      </w:tr>
      <w:tr w:rsidR="008039F1" w:rsidRPr="00F30B27" w:rsidTr="00F82E02">
        <w:trPr>
          <w:trHeight w:val="449"/>
        </w:trPr>
        <w:tc>
          <w:tcPr>
            <w:tcW w:w="1667" w:type="pct"/>
            <w:tcBorders>
              <w:bottom w:val="single" w:sz="18" w:space="0" w:color="01A980"/>
            </w:tcBorders>
            <w:vAlign w:val="bottom"/>
          </w:tcPr>
          <w:p w:rsidR="008039F1" w:rsidRDefault="008039F1" w:rsidP="00F82E02">
            <w:pPr>
              <w:pStyle w:val="hpetableheads"/>
              <w:rPr>
                <w:rFonts w:cs="Arial"/>
                <w:b w:val="0"/>
                <w:sz w:val="18"/>
                <w:szCs w:val="18"/>
              </w:rPr>
            </w:pPr>
          </w:p>
          <w:p w:rsidR="008039F1" w:rsidRDefault="008039F1" w:rsidP="00F82E02">
            <w:pPr>
              <w:pStyle w:val="hpetableheads"/>
              <w:rPr>
                <w:rFonts w:cs="Arial"/>
                <w:b w:val="0"/>
                <w:sz w:val="18"/>
                <w:szCs w:val="18"/>
              </w:rPr>
            </w:pPr>
          </w:p>
          <w:p w:rsidR="008039F1" w:rsidRDefault="008039F1" w:rsidP="00F82E02">
            <w:pPr>
              <w:pStyle w:val="hpetableheads"/>
              <w:rPr>
                <w:rFonts w:cs="Arial"/>
                <w:b w:val="0"/>
                <w:sz w:val="18"/>
                <w:szCs w:val="18"/>
              </w:rPr>
            </w:pPr>
          </w:p>
          <w:p w:rsidR="008039F1" w:rsidRDefault="008039F1" w:rsidP="00F82E02">
            <w:pPr>
              <w:pStyle w:val="hpetableheads"/>
              <w:rPr>
                <w:rFonts w:cs="Arial"/>
                <w:b w:val="0"/>
                <w:sz w:val="18"/>
                <w:szCs w:val="18"/>
              </w:rPr>
            </w:pPr>
          </w:p>
          <w:p w:rsidR="008039F1" w:rsidRDefault="008039F1" w:rsidP="00F82E02">
            <w:pPr>
              <w:pStyle w:val="hpetableheads"/>
              <w:rPr>
                <w:rFonts w:cs="Arial"/>
                <w:b w:val="0"/>
                <w:sz w:val="18"/>
                <w:szCs w:val="18"/>
              </w:rPr>
            </w:pPr>
          </w:p>
          <w:p w:rsidR="008039F1" w:rsidRDefault="008039F1" w:rsidP="00F82E02">
            <w:pPr>
              <w:pStyle w:val="hpetableheads"/>
              <w:rPr>
                <w:rFonts w:cs="Arial"/>
                <w:b w:val="0"/>
                <w:sz w:val="18"/>
                <w:szCs w:val="18"/>
              </w:rPr>
            </w:pPr>
          </w:p>
          <w:p w:rsidR="008039F1" w:rsidRDefault="008039F1" w:rsidP="00F82E02">
            <w:pPr>
              <w:pStyle w:val="hpetableheads"/>
              <w:rPr>
                <w:rFonts w:cs="Arial"/>
                <w:b w:val="0"/>
                <w:sz w:val="18"/>
                <w:szCs w:val="18"/>
              </w:rPr>
            </w:pPr>
          </w:p>
          <w:p w:rsidR="008039F1" w:rsidRPr="00F30B27" w:rsidRDefault="008039F1" w:rsidP="00F82E02">
            <w:pPr>
              <w:pStyle w:val="hpetableheads"/>
              <w:rPr>
                <w:rFonts w:cs="Arial"/>
                <w:b w:val="0"/>
                <w:sz w:val="18"/>
                <w:szCs w:val="18"/>
              </w:rPr>
            </w:pPr>
            <w:r>
              <w:rPr>
                <w:noProof/>
              </w:rPr>
              <w:drawing>
                <wp:inline distT="0" distB="0" distL="0" distR="0" wp14:anchorId="4D494D34" wp14:editId="1023A9CC">
                  <wp:extent cx="1428750" cy="1171575"/>
                  <wp:effectExtent l="0" t="0" r="0" b="9525"/>
                  <wp:docPr id="7" name="Picture 7" descr="$ReportImage_RMC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428750" cy="1171575"/>
                          </a:xfrm>
                          <a:prstGeom prst="rect">
                            <a:avLst/>
                          </a:prstGeom>
                        </pic:spPr>
                      </pic:pic>
                    </a:graphicData>
                  </a:graphic>
                </wp:inline>
              </w:drawing>
            </w:r>
          </w:p>
        </w:tc>
        <w:tc>
          <w:tcPr>
            <w:tcW w:w="1667" w:type="pct"/>
            <w:tcBorders>
              <w:bottom w:val="single" w:sz="18" w:space="0" w:color="01A980"/>
            </w:tcBorders>
            <w:vAlign w:val="bottom"/>
          </w:tcPr>
          <w:p w:rsidR="008039F1" w:rsidRPr="00F30B27" w:rsidRDefault="008039F1" w:rsidP="00F82E02">
            <w:pPr>
              <w:pStyle w:val="hpetableheads"/>
              <w:rPr>
                <w:rFonts w:cs="Arial"/>
                <w:b w:val="0"/>
                <w:sz w:val="18"/>
                <w:szCs w:val="18"/>
              </w:rPr>
            </w:pPr>
            <w:r>
              <w:rPr>
                <w:noProof/>
              </w:rPr>
              <w:drawing>
                <wp:inline distT="0" distB="0" distL="0" distR="0" wp14:anchorId="4335ABC9" wp14:editId="7D0C0C17">
                  <wp:extent cx="1428750" cy="1171575"/>
                  <wp:effectExtent l="0" t="0" r="0" b="9525"/>
                  <wp:docPr id="8" name="Picture 8" descr="$ReportImage_RMCFSPE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428750" cy="1171575"/>
                          </a:xfrm>
                          <a:prstGeom prst="rect">
                            <a:avLst/>
                          </a:prstGeom>
                        </pic:spPr>
                      </pic:pic>
                    </a:graphicData>
                  </a:graphic>
                </wp:inline>
              </w:drawing>
            </w:r>
          </w:p>
        </w:tc>
        <w:tc>
          <w:tcPr>
            <w:tcW w:w="1667" w:type="pct"/>
            <w:tcBorders>
              <w:bottom w:val="single" w:sz="18" w:space="0" w:color="01A980"/>
            </w:tcBorders>
            <w:vAlign w:val="bottom"/>
          </w:tcPr>
          <w:p w:rsidR="008039F1" w:rsidRPr="00F30B27" w:rsidRDefault="008039F1" w:rsidP="00F82E02">
            <w:pPr>
              <w:pStyle w:val="hpetableheads"/>
              <w:rPr>
                <w:rFonts w:cs="Arial"/>
                <w:b w:val="0"/>
                <w:sz w:val="18"/>
                <w:szCs w:val="18"/>
              </w:rPr>
            </w:pPr>
            <w:r>
              <w:rPr>
                <w:noProof/>
              </w:rPr>
              <w:drawing>
                <wp:inline distT="0" distB="0" distL="0" distR="0" wp14:anchorId="5238D8E6" wp14:editId="69E5C3D9">
                  <wp:extent cx="1428750" cy="1171575"/>
                  <wp:effectExtent l="0" t="0" r="0" b="9525"/>
                  <wp:docPr id="9" name="Picture 9" descr="$ReportImage_RMCCostS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428750" cy="1171575"/>
                          </a:xfrm>
                          <a:prstGeom prst="rect">
                            <a:avLst/>
                          </a:prstGeom>
                        </pic:spPr>
                      </pic:pic>
                    </a:graphicData>
                  </a:graphic>
                </wp:inline>
              </w:drawing>
            </w:r>
          </w:p>
        </w:tc>
      </w:tr>
      <w:tr w:rsidR="008039F1" w:rsidRPr="00F30B27" w:rsidTr="00F82E02">
        <w:trPr>
          <w:cnfStyle w:val="000000010000" w:firstRow="0" w:lastRow="0" w:firstColumn="0" w:lastColumn="0" w:oddVBand="0" w:evenVBand="0" w:oddHBand="0" w:evenHBand="1" w:firstRowFirstColumn="0" w:firstRowLastColumn="0" w:lastRowFirstColumn="0" w:lastRowLastColumn="0"/>
          <w:trHeight w:val="449"/>
        </w:trPr>
        <w:tc>
          <w:tcPr>
            <w:tcW w:w="1667" w:type="pct"/>
            <w:tcBorders>
              <w:top w:val="single" w:sz="18" w:space="0" w:color="01A980"/>
            </w:tcBorders>
            <w:vAlign w:val="center"/>
          </w:tcPr>
          <w:p w:rsidR="008039F1" w:rsidRPr="00F30B27" w:rsidRDefault="008039F1" w:rsidP="00F82E02">
            <w:pPr>
              <w:pStyle w:val="hpetablebody"/>
              <w:jc w:val="center"/>
              <w:rPr>
                <w:rFonts w:cs="Arial"/>
                <w:b/>
                <w:sz w:val="18"/>
                <w:szCs w:val="18"/>
              </w:rPr>
            </w:pPr>
            <w:r w:rsidRPr="00F30B27">
              <w:rPr>
                <w:rFonts w:cs="Arial"/>
                <w:b/>
                <w:sz w:val="18"/>
                <w:szCs w:val="18"/>
              </w:rPr>
              <w:t>Backup Window</w:t>
            </w:r>
          </w:p>
        </w:tc>
        <w:tc>
          <w:tcPr>
            <w:tcW w:w="1667" w:type="pct"/>
            <w:tcBorders>
              <w:top w:val="single" w:sz="18" w:space="0" w:color="01A980"/>
            </w:tcBorders>
            <w:vAlign w:val="center"/>
          </w:tcPr>
          <w:p w:rsidR="008039F1" w:rsidRPr="00F30B27" w:rsidRDefault="008813B8" w:rsidP="00F82E02">
            <w:pPr>
              <w:pStyle w:val="hpetablebody"/>
              <w:jc w:val="center"/>
              <w:rPr>
                <w:rFonts w:cs="Arial"/>
                <w:b/>
                <w:sz w:val="18"/>
                <w:szCs w:val="18"/>
              </w:rPr>
            </w:pPr>
            <w:r>
              <w:rPr>
                <w:rFonts w:cs="Arial"/>
                <w:b/>
                <w:sz w:val="18"/>
                <w:szCs w:val="18"/>
              </w:rPr>
              <w:t>Improved File System backup performance using RMC. (hours)</w:t>
            </w:r>
          </w:p>
        </w:tc>
        <w:tc>
          <w:tcPr>
            <w:tcW w:w="1667" w:type="pct"/>
            <w:tcBorders>
              <w:top w:val="single" w:sz="18" w:space="0" w:color="01A980"/>
            </w:tcBorders>
            <w:vAlign w:val="center"/>
          </w:tcPr>
          <w:p w:rsidR="008039F1" w:rsidRPr="00F30B27" w:rsidRDefault="00C0327F" w:rsidP="00C0327F">
            <w:pPr>
              <w:pStyle w:val="hpetablebody"/>
              <w:jc w:val="center"/>
              <w:rPr>
                <w:rFonts w:cs="Arial"/>
                <w:b/>
                <w:sz w:val="18"/>
                <w:szCs w:val="18"/>
              </w:rPr>
            </w:pPr>
            <w:r>
              <w:rPr>
                <w:rFonts w:cs="Arial"/>
                <w:b/>
                <w:sz w:val="18"/>
                <w:szCs w:val="18"/>
              </w:rPr>
              <w:t xml:space="preserve">Potential 3 Year </w:t>
            </w:r>
            <w:r w:rsidR="008039F1" w:rsidRPr="00F30B27">
              <w:rPr>
                <w:rFonts w:cs="Arial"/>
                <w:b/>
                <w:sz w:val="18"/>
                <w:szCs w:val="18"/>
              </w:rPr>
              <w:t>Saving</w:t>
            </w:r>
            <w:r>
              <w:rPr>
                <w:rFonts w:cs="Arial"/>
                <w:b/>
                <w:sz w:val="18"/>
                <w:szCs w:val="18"/>
              </w:rPr>
              <w:t>s</w:t>
            </w:r>
          </w:p>
        </w:tc>
      </w:tr>
      <w:tr w:rsidR="008039F1" w:rsidRPr="00F30B27" w:rsidTr="00F82E02">
        <w:trPr>
          <w:trHeight w:val="449"/>
        </w:trPr>
        <w:sdt>
          <w:sdtPr>
            <w:rPr>
              <w:rFonts w:eastAsiaTheme="majorEastAsia" w:cs="Arial"/>
              <w:smallCaps/>
              <w:noProof/>
              <w:color w:val="auto"/>
              <w:sz w:val="18"/>
              <w:szCs w:val="18"/>
              <w:lang w:eastAsia="ja-JP"/>
            </w:rPr>
            <w:tag w:val="rtcBackupWindow2"/>
            <w:id w:val="-346642639"/>
            <w:placeholder>
              <w:docPart w:val="519BE2264A544B4BB8C2BFB017C93DF5"/>
            </w:placeholder>
          </w:sdtPr>
          <w:sdtEndPr/>
          <w:sdtContent>
            <w:tc>
              <w:tcPr>
                <w:tcW w:w="1667" w:type="pct"/>
                <w:tcBorders>
                  <w:bottom w:val="single" w:sz="18" w:space="0" w:color="01A980"/>
                </w:tcBorders>
                <w:vAlign w:val="center"/>
              </w:tcPr>
              <w:p w:rsidR="008039F1" w:rsidRPr="00F30B27" w:rsidRDefault="00C0327F" w:rsidP="00C0327F">
                <w:pPr>
                  <w:pStyle w:val="hpetableheads"/>
                  <w:jc w:val="center"/>
                  <w:rPr>
                    <w:rFonts w:cs="Arial"/>
                    <w:color w:val="auto"/>
                    <w:sz w:val="18"/>
                    <w:szCs w:val="18"/>
                  </w:rPr>
                </w:pPr>
                <w:r>
                  <w:rPr>
                    <w:rFonts w:cs="Arial"/>
                    <w:color w:val="auto"/>
                    <w:sz w:val="18"/>
                    <w:szCs w:val="18"/>
                  </w:rPr>
                  <w:t>0.08 Min - 40.5 H</w:t>
                </w:r>
              </w:p>
            </w:tc>
          </w:sdtContent>
        </w:sdt>
        <w:sdt>
          <w:sdtPr>
            <w:rPr>
              <w:rFonts w:eastAsiaTheme="majorEastAsia" w:cs="Arial"/>
              <w:smallCaps/>
              <w:noProof/>
              <w:color w:val="auto"/>
              <w:sz w:val="18"/>
              <w:szCs w:val="18"/>
              <w:lang w:eastAsia="ja-JP"/>
            </w:rPr>
            <w:tag w:val="rtcBackupSuccessRate2"/>
            <w:id w:val="1659489522"/>
            <w:placeholder>
              <w:docPart w:val="3DBD37D33D7240D4BB7CCDF15C255F06"/>
            </w:placeholder>
          </w:sdtPr>
          <w:sdtEndPr/>
          <w:sdtContent>
            <w:tc>
              <w:tcPr>
                <w:tcW w:w="1667" w:type="pct"/>
                <w:tcBorders>
                  <w:bottom w:val="single" w:sz="18" w:space="0" w:color="01A980"/>
                </w:tcBorders>
                <w:vAlign w:val="center"/>
              </w:tcPr>
              <w:p w:rsidR="008039F1" w:rsidRPr="00F30B27" w:rsidRDefault="00C0327F" w:rsidP="00C0327F">
                <w:pPr>
                  <w:pStyle w:val="hpetableheads"/>
                  <w:jc w:val="center"/>
                  <w:rPr>
                    <w:rFonts w:cs="Arial"/>
                    <w:color w:val="auto"/>
                    <w:sz w:val="18"/>
                    <w:szCs w:val="18"/>
                  </w:rPr>
                </w:pPr>
                <w:r>
                  <w:rPr>
                    <w:rFonts w:cs="Arial"/>
                    <w:color w:val="auto"/>
                    <w:sz w:val="18"/>
                    <w:szCs w:val="18"/>
                  </w:rPr>
                  <w:t>94%</w:t>
                </w:r>
              </w:p>
            </w:tc>
          </w:sdtContent>
        </w:sdt>
        <w:sdt>
          <w:sdtPr>
            <w:rPr>
              <w:rFonts w:eastAsiaTheme="majorEastAsia" w:cs="Arial"/>
              <w:smallCaps/>
              <w:noProof/>
              <w:color w:val="auto"/>
              <w:sz w:val="18"/>
              <w:szCs w:val="18"/>
              <w:lang w:eastAsia="ja-JP"/>
            </w:rPr>
            <w:tag w:val="rtcDedupSavingPotential2"/>
            <w:id w:val="-1100329369"/>
            <w:placeholder>
              <w:docPart w:val="A15D1AE75EC64FB290745729CC1A6984"/>
            </w:placeholder>
          </w:sdtPr>
          <w:sdtEndPr/>
          <w:sdtContent>
            <w:tc>
              <w:tcPr>
                <w:tcW w:w="1667" w:type="pct"/>
                <w:tcBorders>
                  <w:bottom w:val="single" w:sz="18" w:space="0" w:color="01A980"/>
                </w:tcBorders>
                <w:vAlign w:val="center"/>
              </w:tcPr>
              <w:p w:rsidR="008039F1" w:rsidRPr="00F30B27" w:rsidRDefault="00C0327F" w:rsidP="00C0327F">
                <w:pPr>
                  <w:pStyle w:val="hpetableheads"/>
                  <w:jc w:val="center"/>
                  <w:rPr>
                    <w:rFonts w:cs="Arial"/>
                    <w:color w:val="auto"/>
                    <w:sz w:val="18"/>
                    <w:szCs w:val="18"/>
                  </w:rPr>
                </w:pPr>
                <w:r>
                  <w:rPr>
                    <w:rFonts w:cs="Arial"/>
                    <w:color w:val="auto"/>
                    <w:sz w:val="18"/>
                    <w:szCs w:val="18"/>
                  </w:rPr>
                  <w:t>$40,504</w:t>
                </w:r>
              </w:p>
            </w:tc>
          </w:sdtContent>
        </w:sdt>
      </w:tr>
      <w:tr w:rsidR="008039F1" w:rsidRPr="00F30B27" w:rsidTr="00F82E02">
        <w:trPr>
          <w:cnfStyle w:val="000000010000" w:firstRow="0" w:lastRow="0" w:firstColumn="0" w:lastColumn="0" w:oddVBand="0" w:evenVBand="0" w:oddHBand="0" w:evenHBand="1" w:firstRowFirstColumn="0" w:firstRowLastColumn="0" w:lastRowFirstColumn="0" w:lastRowLastColumn="0"/>
          <w:trHeight w:val="449"/>
        </w:trPr>
        <w:tc>
          <w:tcPr>
            <w:tcW w:w="1667" w:type="pct"/>
            <w:tcBorders>
              <w:top w:val="single" w:sz="18" w:space="0" w:color="01A980"/>
            </w:tcBorders>
          </w:tcPr>
          <w:p w:rsidR="008039F1" w:rsidRPr="00F30B27" w:rsidRDefault="008039F1" w:rsidP="00C0327F">
            <w:pPr>
              <w:pStyle w:val="hpetablebody"/>
              <w:rPr>
                <w:rStyle w:val="IntenseEmphasis"/>
                <w:rFonts w:cs="Arial"/>
                <w:b w:val="0"/>
                <w:i w:val="0"/>
                <w:color w:val="auto"/>
                <w:sz w:val="18"/>
                <w:szCs w:val="18"/>
              </w:rPr>
            </w:pPr>
            <w:r w:rsidRPr="00C0327F">
              <w:rPr>
                <w:rStyle w:val="IntenseEmphasis"/>
                <w:rFonts w:cs="Arial"/>
                <w:b w:val="0"/>
                <w:color w:val="auto"/>
                <w:sz w:val="18"/>
                <w:szCs w:val="18"/>
              </w:rPr>
              <w:t>Longest job:</w:t>
            </w:r>
            <w:r w:rsidRPr="00F30B27">
              <w:rPr>
                <w:rStyle w:val="IntenseEmphasis"/>
                <w:rFonts w:cs="Arial"/>
                <w:color w:val="auto"/>
                <w:sz w:val="18"/>
                <w:szCs w:val="18"/>
              </w:rPr>
              <w:t xml:space="preserve"> </w:t>
            </w:r>
            <w:r w:rsidR="00C0327F" w:rsidRPr="00C0327F">
              <w:rPr>
                <w:b/>
              </w:rPr>
              <w:t>40.5 H</w:t>
            </w:r>
            <w:r w:rsidR="00C0327F">
              <w:rPr>
                <w:rStyle w:val="IntenseEmphasis"/>
                <w:rFonts w:cs="Arial"/>
                <w:color w:val="auto"/>
                <w:sz w:val="18"/>
                <w:szCs w:val="18"/>
              </w:rPr>
              <w:t xml:space="preserve"> </w:t>
            </w:r>
            <w:r w:rsidR="00C0327F">
              <w:rPr>
                <w:rStyle w:val="IntenseEmphasis"/>
                <w:rFonts w:cs="Arial"/>
                <w:color w:val="auto"/>
                <w:sz w:val="18"/>
                <w:szCs w:val="18"/>
              </w:rPr>
              <w:br/>
            </w:r>
            <w:r w:rsidR="00C0327F" w:rsidRPr="00C0327F">
              <w:rPr>
                <w:rStyle w:val="IntenseEmphasis"/>
                <w:rFonts w:cs="Arial"/>
                <w:b w:val="0"/>
                <w:color w:val="auto"/>
                <w:sz w:val="18"/>
                <w:szCs w:val="18"/>
              </w:rPr>
              <w:t>12-hour+ jobs:</w:t>
            </w:r>
            <w:r w:rsidR="00C0327F">
              <w:rPr>
                <w:rStyle w:val="IntenseEmphasis"/>
                <w:rFonts w:cs="Arial"/>
                <w:color w:val="auto"/>
                <w:sz w:val="18"/>
                <w:szCs w:val="18"/>
              </w:rPr>
              <w:t xml:space="preserve"> 118</w:t>
            </w:r>
          </w:p>
        </w:tc>
        <w:tc>
          <w:tcPr>
            <w:tcW w:w="1667" w:type="pct"/>
            <w:tcBorders>
              <w:top w:val="single" w:sz="18" w:space="0" w:color="01A980"/>
            </w:tcBorders>
          </w:tcPr>
          <w:p w:rsidR="008039F1" w:rsidRPr="00F30B27" w:rsidRDefault="00C951C6" w:rsidP="00C951C6">
            <w:pPr>
              <w:pStyle w:val="hpetablebody"/>
              <w:rPr>
                <w:rStyle w:val="IntenseEmphasis"/>
                <w:rFonts w:cs="Arial"/>
                <w:b w:val="0"/>
                <w:i w:val="0"/>
                <w:color w:val="auto"/>
                <w:sz w:val="18"/>
                <w:szCs w:val="18"/>
              </w:rPr>
            </w:pPr>
            <w:r w:rsidRPr="00C951C6">
              <w:rPr>
                <w:rStyle w:val="IntenseEmphasis"/>
                <w:rFonts w:cs="Arial"/>
                <w:b w:val="0"/>
                <w:color w:val="auto"/>
                <w:sz w:val="18"/>
                <w:szCs w:val="18"/>
              </w:rPr>
              <w:t>Without RMC:</w:t>
            </w:r>
            <w:r w:rsidR="008039F1" w:rsidRPr="00F30B27">
              <w:rPr>
                <w:rStyle w:val="IntenseEmphasis"/>
                <w:rFonts w:cs="Arial"/>
                <w:color w:val="auto"/>
                <w:sz w:val="18"/>
                <w:szCs w:val="18"/>
              </w:rPr>
              <w:t xml:space="preserve"> </w:t>
            </w:r>
            <w:r w:rsidRPr="00C951C6">
              <w:rPr>
                <w:b/>
              </w:rPr>
              <w:t>266</w:t>
            </w:r>
            <w:r w:rsidR="008039F1" w:rsidRPr="00F30B27">
              <w:rPr>
                <w:rStyle w:val="IntenseEmphasis"/>
                <w:rFonts w:cs="Arial"/>
                <w:color w:val="auto"/>
                <w:sz w:val="18"/>
                <w:szCs w:val="18"/>
              </w:rPr>
              <w:br/>
            </w:r>
            <w:r w:rsidRPr="00C951C6">
              <w:rPr>
                <w:rStyle w:val="IntenseEmphasis"/>
                <w:rFonts w:cs="Arial"/>
                <w:b w:val="0"/>
                <w:color w:val="auto"/>
                <w:sz w:val="18"/>
                <w:szCs w:val="18"/>
              </w:rPr>
              <w:t>With RMC:</w:t>
            </w:r>
            <w:r>
              <w:rPr>
                <w:rStyle w:val="IntenseEmphasis"/>
                <w:rFonts w:cs="Arial"/>
                <w:color w:val="auto"/>
                <w:sz w:val="18"/>
                <w:szCs w:val="18"/>
              </w:rPr>
              <w:t xml:space="preserve"> </w:t>
            </w:r>
            <w:r w:rsidRPr="00C951C6">
              <w:rPr>
                <w:b/>
              </w:rPr>
              <w:t>16</w:t>
            </w:r>
          </w:p>
        </w:tc>
        <w:tc>
          <w:tcPr>
            <w:tcW w:w="1667" w:type="pct"/>
            <w:tcBorders>
              <w:top w:val="single" w:sz="18" w:space="0" w:color="01A980"/>
            </w:tcBorders>
          </w:tcPr>
          <w:p w:rsidR="008039F1" w:rsidRPr="00F30B27" w:rsidRDefault="00C0327F" w:rsidP="00C0327F">
            <w:pPr>
              <w:pStyle w:val="hpetablebody"/>
              <w:ind w:left="0"/>
              <w:rPr>
                <w:rStyle w:val="IntenseEmphasis"/>
                <w:rFonts w:cs="Arial"/>
                <w:b w:val="0"/>
                <w:i w:val="0"/>
                <w:color w:val="auto"/>
                <w:sz w:val="18"/>
                <w:szCs w:val="18"/>
              </w:rPr>
            </w:pPr>
            <w:r w:rsidRPr="00C0327F">
              <w:rPr>
                <w:rStyle w:val="IntenseEmphasis"/>
                <w:rFonts w:cs="Arial"/>
                <w:b w:val="0"/>
                <w:color w:val="auto"/>
                <w:sz w:val="18"/>
                <w:szCs w:val="18"/>
              </w:rPr>
              <w:t>Traditional</w:t>
            </w:r>
            <w:r w:rsidR="008039F1" w:rsidRPr="00C0327F">
              <w:rPr>
                <w:rStyle w:val="IntenseEmphasis"/>
                <w:rFonts w:cs="Arial"/>
                <w:b w:val="0"/>
                <w:color w:val="auto"/>
                <w:sz w:val="18"/>
                <w:szCs w:val="18"/>
              </w:rPr>
              <w:t>:</w:t>
            </w:r>
            <w:r w:rsidR="008039F1" w:rsidRPr="00F30B27">
              <w:rPr>
                <w:rStyle w:val="IntenseEmphasis"/>
                <w:rFonts w:cs="Arial"/>
                <w:color w:val="auto"/>
                <w:sz w:val="18"/>
                <w:szCs w:val="18"/>
              </w:rPr>
              <w:t xml:space="preserve"> </w:t>
            </w:r>
            <w:r w:rsidRPr="00C0327F">
              <w:rPr>
                <w:b/>
              </w:rPr>
              <w:t>$49,804</w:t>
            </w:r>
            <w:r>
              <w:rPr>
                <w:rStyle w:val="IntenseEmphasis"/>
                <w:rFonts w:cs="Arial"/>
                <w:color w:val="auto"/>
                <w:sz w:val="18"/>
                <w:szCs w:val="18"/>
              </w:rPr>
              <w:br/>
            </w:r>
            <w:r w:rsidRPr="00C0327F">
              <w:rPr>
                <w:rStyle w:val="IntenseEmphasis"/>
                <w:rFonts w:cs="Arial"/>
                <w:b w:val="0"/>
                <w:color w:val="auto"/>
                <w:sz w:val="18"/>
                <w:szCs w:val="18"/>
              </w:rPr>
              <w:t>With RMC</w:t>
            </w:r>
            <w:r w:rsidR="008039F1" w:rsidRPr="00C0327F">
              <w:rPr>
                <w:rStyle w:val="IntenseEmphasis"/>
                <w:rFonts w:cs="Arial"/>
                <w:b w:val="0"/>
                <w:color w:val="auto"/>
                <w:sz w:val="18"/>
                <w:szCs w:val="18"/>
              </w:rPr>
              <w:t>:</w:t>
            </w:r>
            <w:r w:rsidR="008039F1" w:rsidRPr="00F30B27">
              <w:rPr>
                <w:rStyle w:val="IntenseEmphasis"/>
                <w:rFonts w:cs="Arial"/>
                <w:color w:val="auto"/>
                <w:sz w:val="18"/>
                <w:szCs w:val="18"/>
              </w:rPr>
              <w:t xml:space="preserve"> </w:t>
            </w:r>
            <w:r w:rsidRPr="00C0327F">
              <w:rPr>
                <w:b/>
              </w:rPr>
              <w:t>$9,300</w:t>
            </w:r>
          </w:p>
        </w:tc>
      </w:tr>
      <w:tr w:rsidR="008039F1" w:rsidRPr="00F30B27" w:rsidTr="00F82E02">
        <w:trPr>
          <w:trHeight w:val="449"/>
        </w:trPr>
        <w:tc>
          <w:tcPr>
            <w:tcW w:w="1667" w:type="pct"/>
            <w:tcBorders>
              <w:bottom w:val="single" w:sz="18" w:space="0" w:color="01A980"/>
            </w:tcBorders>
          </w:tcPr>
          <w:p w:rsidR="008039F1" w:rsidRPr="00F30B27" w:rsidRDefault="008039F1" w:rsidP="008813B8">
            <w:pPr>
              <w:pStyle w:val="hpetablebody"/>
              <w:rPr>
                <w:rFonts w:cs="Arial"/>
                <w:b/>
                <w:bCs/>
                <w:iCs/>
                <w:color w:val="auto"/>
                <w:sz w:val="18"/>
                <w:szCs w:val="18"/>
              </w:rPr>
            </w:pPr>
          </w:p>
        </w:tc>
        <w:tc>
          <w:tcPr>
            <w:tcW w:w="1667" w:type="pct"/>
            <w:tcBorders>
              <w:bottom w:val="single" w:sz="18" w:space="0" w:color="01A980"/>
            </w:tcBorders>
          </w:tcPr>
          <w:p w:rsidR="008039F1" w:rsidRPr="00F30B27" w:rsidRDefault="008039F1" w:rsidP="008813B8">
            <w:pPr>
              <w:pStyle w:val="hpetablebody"/>
              <w:rPr>
                <w:rFonts w:cs="Arial"/>
                <w:b/>
                <w:smallCaps/>
                <w:noProof/>
                <w:color w:val="auto"/>
                <w:sz w:val="18"/>
                <w:szCs w:val="18"/>
              </w:rPr>
            </w:pPr>
          </w:p>
        </w:tc>
        <w:tc>
          <w:tcPr>
            <w:tcW w:w="1667" w:type="pct"/>
            <w:tcBorders>
              <w:bottom w:val="single" w:sz="18" w:space="0" w:color="01A980"/>
            </w:tcBorders>
          </w:tcPr>
          <w:p w:rsidR="008039F1" w:rsidRPr="00F30B27" w:rsidRDefault="008039F1" w:rsidP="00F82E02">
            <w:pPr>
              <w:pStyle w:val="hpetablebody"/>
              <w:rPr>
                <w:rFonts w:cs="Arial"/>
                <w:b/>
                <w:smallCaps/>
                <w:noProof/>
                <w:color w:val="auto"/>
                <w:sz w:val="18"/>
                <w:szCs w:val="18"/>
              </w:rPr>
            </w:pPr>
          </w:p>
        </w:tc>
      </w:tr>
      <w:tr w:rsidR="00C0327F" w:rsidRPr="00F30B27" w:rsidTr="00141189">
        <w:trPr>
          <w:cnfStyle w:val="000000010000" w:firstRow="0" w:lastRow="0" w:firstColumn="0" w:lastColumn="0" w:oddVBand="0" w:evenVBand="0" w:oddHBand="0" w:evenHBand="1" w:firstRowFirstColumn="0" w:firstRowLastColumn="0" w:lastRowFirstColumn="0" w:lastRowLastColumn="0"/>
          <w:trHeight w:val="449"/>
        </w:trPr>
        <w:tc>
          <w:tcPr>
            <w:tcW w:w="5000" w:type="pct"/>
            <w:gridSpan w:val="3"/>
            <w:vAlign w:val="center"/>
          </w:tcPr>
          <w:p w:rsidR="00C0327F" w:rsidRPr="00C0327F" w:rsidRDefault="00C0327F" w:rsidP="00C951C6">
            <w:pPr>
              <w:pStyle w:val="hpetablebody"/>
              <w:jc w:val="center"/>
              <w:rPr>
                <w:rStyle w:val="IntenseEmphasis"/>
                <w:rFonts w:cs="Arial"/>
                <w:b w:val="0"/>
                <w:bCs w:val="0"/>
                <w:i w:val="0"/>
                <w:color w:val="auto"/>
                <w:sz w:val="18"/>
                <w:szCs w:val="18"/>
              </w:rPr>
            </w:pPr>
            <w:r w:rsidRPr="00C0327F">
              <w:rPr>
                <w:b/>
                <w:i/>
              </w:rPr>
              <w:fldChar w:fldCharType="begin"/>
            </w:r>
            <w:r w:rsidRPr="00C0327F">
              <w:rPr>
                <w:rFonts w:cs="Arial"/>
                <w:b/>
                <w:i/>
                <w:color w:val="auto"/>
                <w:sz w:val="18"/>
                <w:szCs w:val="18"/>
              </w:rPr>
              <w:instrText xml:space="preserve"> DOCPROPERTY  NPP_Text5  \* MERGEFORMAT </w:instrText>
            </w:r>
            <w:r w:rsidRPr="00C0327F">
              <w:rPr>
                <w:b/>
                <w:i/>
              </w:rPr>
              <w:fldChar w:fldCharType="separate"/>
            </w:r>
            <w:r w:rsidRPr="00C0327F">
              <w:rPr>
                <w:rStyle w:val="IntenseEmphasis"/>
                <w:rFonts w:cs="Arial"/>
                <w:i w:val="0"/>
                <w:color w:val="auto"/>
                <w:sz w:val="18"/>
                <w:szCs w:val="18"/>
              </w:rPr>
              <w:t xml:space="preserve">3PAR+RMC (hybrid) </w:t>
            </w:r>
            <w:proofErr w:type="spellStart"/>
            <w:r w:rsidRPr="00C0327F">
              <w:rPr>
                <w:rStyle w:val="IntenseEmphasis"/>
                <w:rFonts w:cs="Arial"/>
                <w:i w:val="0"/>
                <w:color w:val="auto"/>
                <w:sz w:val="18"/>
                <w:szCs w:val="18"/>
              </w:rPr>
              <w:t>ExpressProtect</w:t>
            </w:r>
            <w:proofErr w:type="spellEnd"/>
            <w:r w:rsidRPr="00C0327F">
              <w:rPr>
                <w:rStyle w:val="IntenseEmphasis"/>
                <w:rFonts w:cs="Arial"/>
                <w:i w:val="0"/>
                <w:color w:val="auto"/>
                <w:sz w:val="18"/>
                <w:szCs w:val="18"/>
              </w:rPr>
              <w:t xml:space="preserve"> key benefits</w:t>
            </w:r>
            <w:r w:rsidRPr="00C0327F">
              <w:rPr>
                <w:rStyle w:val="IntenseEmphasis"/>
                <w:rFonts w:cs="Arial"/>
                <w:b w:val="0"/>
                <w:i w:val="0"/>
                <w:color w:val="auto"/>
                <w:sz w:val="18"/>
                <w:szCs w:val="18"/>
              </w:rPr>
              <w:fldChar w:fldCharType="end"/>
            </w:r>
          </w:p>
        </w:tc>
      </w:tr>
      <w:tr w:rsidR="00C0327F" w:rsidRPr="00F30B27" w:rsidTr="00F82E02">
        <w:trPr>
          <w:trHeight w:val="449"/>
        </w:trPr>
        <w:tc>
          <w:tcPr>
            <w:tcW w:w="1667" w:type="pct"/>
          </w:tcPr>
          <w:p w:rsidR="00C0327F" w:rsidRPr="00F30B27" w:rsidRDefault="00C0327F" w:rsidP="008813B8">
            <w:pPr>
              <w:pStyle w:val="hpetablebody"/>
              <w:rPr>
                <w:b/>
              </w:rPr>
            </w:pPr>
            <w:r w:rsidRPr="00B7709C">
              <w:rPr>
                <w:rStyle w:val="hpegreen"/>
                <w:color w:val="auto"/>
                <w:sz w:val="18"/>
                <w:szCs w:val="18"/>
              </w:rPr>
              <w:t>RMC offers a new way to back up file and virtual machine data that reduces both backup windows and can reduce backup application (i.e. ISV) license charges.</w:t>
            </w:r>
          </w:p>
        </w:tc>
        <w:tc>
          <w:tcPr>
            <w:tcW w:w="1667" w:type="pct"/>
          </w:tcPr>
          <w:p w:rsidR="00C0327F" w:rsidRPr="00F30B27" w:rsidRDefault="00C0327F" w:rsidP="008813B8">
            <w:pPr>
              <w:pStyle w:val="hpetablebody"/>
              <w:rPr>
                <w:b/>
              </w:rPr>
            </w:pPr>
            <w:r w:rsidRPr="00B7709C">
              <w:rPr>
                <w:rStyle w:val="hpegreen"/>
                <w:color w:val="auto"/>
                <w:sz w:val="18"/>
                <w:szCs w:val="18"/>
              </w:rPr>
              <w:t>RMC allows up to 17x faster backups compared to traditional ways of backing up.</w:t>
            </w:r>
          </w:p>
        </w:tc>
        <w:tc>
          <w:tcPr>
            <w:tcW w:w="1667" w:type="pct"/>
          </w:tcPr>
          <w:p w:rsidR="00C0327F" w:rsidRPr="00F30B27" w:rsidRDefault="00C0327F" w:rsidP="008813B8">
            <w:pPr>
              <w:pStyle w:val="hpetablebody"/>
              <w:rPr>
                <w:b/>
              </w:rPr>
            </w:pPr>
            <w:r w:rsidRPr="00B7709C">
              <w:rPr>
                <w:rStyle w:val="hpegreen"/>
                <w:color w:val="auto"/>
                <w:sz w:val="18"/>
                <w:szCs w:val="18"/>
              </w:rPr>
              <w:t>Using a combination of RMC and your backup ISV can allow you to realize substantial savings in backup software license charges</w:t>
            </w:r>
            <w:r w:rsidR="00C951C6">
              <w:rPr>
                <w:rStyle w:val="hpegreen"/>
                <w:color w:val="auto"/>
                <w:sz w:val="18"/>
                <w:szCs w:val="18"/>
              </w:rPr>
              <w:t>.</w:t>
            </w:r>
          </w:p>
        </w:tc>
      </w:tr>
    </w:tbl>
    <w:p w:rsidR="00696F90" w:rsidRDefault="00696F90" w:rsidP="00F864EA">
      <w:pPr>
        <w:pStyle w:val="hpeintroheadline2"/>
        <w:sectPr w:rsidR="00696F90" w:rsidSect="00377CD5">
          <w:footerReference w:type="default" r:id="rId11"/>
          <w:headerReference w:type="first" r:id="rId12"/>
          <w:pgSz w:w="12240" w:h="15840"/>
          <w:pgMar w:top="3096" w:right="4392" w:bottom="1440" w:left="720" w:header="720" w:footer="576" w:gutter="0"/>
          <w:cols w:space="720"/>
          <w:titlePg/>
          <w:docGrid w:linePitch="360"/>
        </w:sectPr>
      </w:pPr>
    </w:p>
    <w:p w:rsidR="00F864EA" w:rsidRPr="004D53D7" w:rsidRDefault="00F864EA" w:rsidP="00F864EA">
      <w:pPr>
        <w:pStyle w:val="hpeintroheadline2"/>
      </w:pPr>
      <w:r w:rsidRPr="004D53D7">
        <w:rPr>
          <w:rFonts w:cstheme="minorHAnsi"/>
          <w:noProof/>
        </w:rPr>
        <w:lastRenderedPageBreak/>
        <mc:AlternateContent>
          <mc:Choice Requires="wps">
            <w:drawing>
              <wp:anchor distT="0" distB="0" distL="114300" distR="114300" simplePos="0" relativeHeight="251656192" behindDoc="0" locked="0" layoutInCell="1" allowOverlap="1" wp14:anchorId="3B25A017" wp14:editId="2D7B7231">
                <wp:simplePos x="0" y="0"/>
                <wp:positionH relativeFrom="page">
                  <wp:posOffset>5114925</wp:posOffset>
                </wp:positionH>
                <wp:positionV relativeFrom="margin">
                  <wp:posOffset>148589</wp:posOffset>
                </wp:positionV>
                <wp:extent cx="2194560" cy="6505575"/>
                <wp:effectExtent l="0" t="0" r="0" b="9525"/>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4560" cy="6505575"/>
                        </a:xfrm>
                        <a:prstGeom prst="rect">
                          <a:avLst/>
                        </a:prstGeom>
                        <a:noFill/>
                        <a:ln w="15875">
                          <a:noFill/>
                        </a:ln>
                        <a:extLst/>
                      </wps:spPr>
                      <wps:style>
                        <a:lnRef idx="0">
                          <a:scrgbClr r="0" g="0" b="0"/>
                        </a:lnRef>
                        <a:fillRef idx="1002">
                          <a:schemeClr val="lt2"/>
                        </a:fillRef>
                        <a:effectRef idx="0">
                          <a:scrgbClr r="0" g="0" b="0"/>
                        </a:effectRef>
                        <a:fontRef idx="major"/>
                      </wps:style>
                      <wps:txbx>
                        <w:txbxContent>
                          <w:p w:rsidR="00F864EA" w:rsidRPr="00F864EA" w:rsidRDefault="00F864EA" w:rsidP="00F864EA">
                            <w:pPr>
                              <w:spacing w:line="190" w:lineRule="atLeast"/>
                              <w:rPr>
                                <w:rStyle w:val="hpegreen"/>
                                <w:b/>
                                <w:color w:val="auto"/>
                              </w:rPr>
                            </w:pPr>
                            <w:r w:rsidRPr="00F864EA">
                              <w:rPr>
                                <w:rStyle w:val="hpegreen"/>
                                <w:b/>
                                <w:color w:val="auto"/>
                              </w:rPr>
                              <w:t xml:space="preserve">Reduction in backup duration and backup software licensing costs </w:t>
                            </w:r>
                            <w:r w:rsidRPr="00F864EA">
                              <w:rPr>
                                <w:rStyle w:val="hpegreen"/>
                                <w:b/>
                                <w:color w:val="auto"/>
                              </w:rPr>
                              <w:br/>
                            </w:r>
                          </w:p>
                          <w:p w:rsidR="00F864EA" w:rsidRPr="00F864EA" w:rsidRDefault="00F864EA" w:rsidP="00F864EA">
                            <w:pPr>
                              <w:spacing w:line="190" w:lineRule="atLeast"/>
                              <w:rPr>
                                <w:rStyle w:val="hpegreen"/>
                                <w:color w:val="auto"/>
                              </w:rPr>
                            </w:pPr>
                            <w:r w:rsidRPr="00F864EA">
                              <w:rPr>
                                <w:rStyle w:val="hpegreen"/>
                                <w:color w:val="auto"/>
                              </w:rPr>
                              <w:t>HPE Recovery Manager Central in combination with Express Protect, transparently moves backup data from 3PAR Snapshots to a StoreOnce-based deduplication store. The integration of 3PAR and StoreOnce can speed up backups by up 17x (as compared to traditional backup methods) and allows snapshot and backup management from one console. RMC licensing is capacity-agnostic and therefore allows substantial cost savings compared to backup software that is typically licensed by capacity.</w:t>
                            </w:r>
                          </w:p>
                          <w:p w:rsidR="00F864EA" w:rsidRPr="00F864EA" w:rsidRDefault="00F864EA" w:rsidP="00F864EA">
                            <w:pPr>
                              <w:spacing w:line="190" w:lineRule="atLeast"/>
                              <w:rPr>
                                <w:rStyle w:val="hpegreen"/>
                                <w:color w:val="auto"/>
                              </w:rPr>
                            </w:pPr>
                          </w:p>
                          <w:p w:rsidR="00F864EA" w:rsidRPr="00F864EA" w:rsidRDefault="00F864EA" w:rsidP="00F864EA">
                            <w:pPr>
                              <w:spacing w:line="190" w:lineRule="atLeast"/>
                              <w:rPr>
                                <w:rStyle w:val="hpegreen"/>
                                <w:color w:val="auto"/>
                              </w:rPr>
                            </w:pPr>
                          </w:p>
                          <w:p w:rsidR="00F864EA" w:rsidRPr="00F864EA" w:rsidRDefault="00F864EA" w:rsidP="00F864EA">
                            <w:pPr>
                              <w:spacing w:line="190" w:lineRule="atLeast"/>
                              <w:rPr>
                                <w:rStyle w:val="hpegreen"/>
                                <w:color w:val="auto"/>
                              </w:rPr>
                            </w:pPr>
                          </w:p>
                          <w:p w:rsidR="00F864EA" w:rsidRPr="00F864EA" w:rsidRDefault="00F864EA" w:rsidP="00F864EA">
                            <w:pPr>
                              <w:spacing w:line="190" w:lineRule="atLeast"/>
                              <w:rPr>
                                <w:rStyle w:val="hpegreen"/>
                                <w:color w:val="auto"/>
                              </w:rPr>
                            </w:pPr>
                          </w:p>
                          <w:p w:rsidR="00F864EA" w:rsidRPr="00F864EA" w:rsidRDefault="00F864EA" w:rsidP="00F864EA">
                            <w:pPr>
                              <w:rPr>
                                <w:rStyle w:val="hpegreen"/>
                                <w:color w:val="auto"/>
                              </w:rPr>
                            </w:pPr>
                          </w:p>
                          <w:p w:rsidR="00F864EA" w:rsidRPr="00F864EA" w:rsidRDefault="00F864EA" w:rsidP="00F864EA">
                            <w:pPr>
                              <w:rPr>
                                <w:rStyle w:val="hpegreen"/>
                                <w:color w:val="auto"/>
                              </w:rPr>
                            </w:pPr>
                          </w:p>
                          <w:p w:rsidR="00F864EA" w:rsidRPr="00F864EA" w:rsidRDefault="00F864EA" w:rsidP="00F864EA">
                            <w:pPr>
                              <w:rPr>
                                <w:rStyle w:val="hpegreen"/>
                                <w:color w:val="auto"/>
                              </w:rPr>
                            </w:pPr>
                          </w:p>
                          <w:p w:rsidR="00F864EA" w:rsidRPr="00F864EA" w:rsidRDefault="00F864EA" w:rsidP="00F864EA">
                            <w:pPr>
                              <w:rPr>
                                <w:rStyle w:val="hpegreen"/>
                                <w:b/>
                                <w:color w:val="auto"/>
                              </w:rPr>
                            </w:pPr>
                          </w:p>
                          <w:p w:rsidR="00F864EA" w:rsidRPr="00F864EA" w:rsidRDefault="00F864EA" w:rsidP="00F864EA">
                            <w:pPr>
                              <w:rPr>
                                <w:rStyle w:val="hpegreen"/>
                                <w:color w:val="auto"/>
                              </w:rPr>
                            </w:pPr>
                          </w:p>
                          <w:p w:rsidR="00F864EA" w:rsidRPr="00F864EA" w:rsidRDefault="00F864EA" w:rsidP="00F864EA">
                            <w:pPr>
                              <w:rPr>
                                <w:rStyle w:val="hpegreen"/>
                                <w:color w:val="auto"/>
                              </w:rPr>
                            </w:pPr>
                            <w:r w:rsidRPr="00F864EA">
                              <w:rPr>
                                <w:rStyle w:val="hpegreen"/>
                                <w:b/>
                                <w:color w:val="auto"/>
                              </w:rPr>
                              <w:t>Backup Data Types</w:t>
                            </w:r>
                            <w:r w:rsidRPr="00F864EA">
                              <w:rPr>
                                <w:rStyle w:val="hpegreen"/>
                                <w:color w:val="auto"/>
                              </w:rPr>
                              <w:t xml:space="preserve"> </w:t>
                            </w:r>
                          </w:p>
                          <w:p w:rsidR="00F864EA" w:rsidRPr="00F864EA" w:rsidRDefault="00F864EA" w:rsidP="00F864EA">
                            <w:pPr>
                              <w:rPr>
                                <w:rStyle w:val="hpegreen"/>
                                <w:color w:val="auto"/>
                              </w:rPr>
                            </w:pPr>
                            <w:r w:rsidRPr="00F864EA">
                              <w:rPr>
                                <w:rStyle w:val="hpegreen"/>
                                <w:color w:val="auto"/>
                              </w:rPr>
                              <w:t>This chart shows the backup capacity in your environment that falls into either of these two key RMC use cases. This capacity is used to calculate the RMC benefit analysis below.</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B25A017" id="_x0000_s1027" style="position:absolute;margin-left:402.75pt;margin-top:11.7pt;width:172.8pt;height:512.2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" filled="f" stroked="f" strokeweight="1.25pt">
                <v:textbox inset="0,0,0,0">
                  <w:txbxContent>
                    <w:p w:rsidR="00F864EA" w:rsidRPr="00F864EA" w:rsidRDefault="00F864EA" w:rsidP="00F864EA">
                      <w:pPr>
                        <w:spacing w:line="190" w:lineRule="atLeast"/>
                        <w:rPr>
                          <w:rStyle w:val="hpegreen"/>
                          <w:b/>
                          <w:color w:val="auto"/>
                        </w:rPr>
                      </w:pPr>
                      <w:r w:rsidRPr="00F864EA">
                        <w:rPr>
                          <w:rStyle w:val="hpegreen"/>
                          <w:b/>
                          <w:color w:val="auto"/>
                        </w:rPr>
                        <w:t xml:space="preserve">Reduction in backup duration and backup software licensing costs </w:t>
                      </w:r>
                      <w:r w:rsidRPr="00F864EA">
                        <w:rPr>
                          <w:rStyle w:val="hpegreen"/>
                          <w:b/>
                          <w:color w:val="auto"/>
                        </w:rPr>
                        <w:br/>
                      </w:r>
                    </w:p>
                    <w:p w:rsidR="00F864EA" w:rsidRPr="00F864EA" w:rsidRDefault="00F864EA" w:rsidP="00F864EA">
                      <w:pPr>
                        <w:spacing w:line="190" w:lineRule="atLeast"/>
                        <w:rPr>
                          <w:rStyle w:val="hpegreen"/>
                          <w:color w:val="auto"/>
                        </w:rPr>
                      </w:pPr>
                      <w:r w:rsidRPr="00F864EA">
                        <w:rPr>
                          <w:rStyle w:val="hpegreen"/>
                          <w:color w:val="auto"/>
                        </w:rPr>
                        <w:t xml:space="preserve">HPE Recovery Manager Central in combination with Express Protect, transparently moves backup data from 3PAR Snapshots to a </w:t>
                      </w:r>
                      <w:proofErr w:type="spellStart"/>
                      <w:r w:rsidRPr="00F864EA">
                        <w:rPr>
                          <w:rStyle w:val="hpegreen"/>
                          <w:color w:val="auto"/>
                        </w:rPr>
                        <w:t>StoreOnce</w:t>
                      </w:r>
                      <w:proofErr w:type="spellEnd"/>
                      <w:r w:rsidRPr="00F864EA">
                        <w:rPr>
                          <w:rStyle w:val="hpegreen"/>
                          <w:color w:val="auto"/>
                        </w:rPr>
                        <w:t xml:space="preserve">-based deduplication store. The integration of 3PAR and </w:t>
                      </w:r>
                      <w:proofErr w:type="spellStart"/>
                      <w:r w:rsidRPr="00F864EA">
                        <w:rPr>
                          <w:rStyle w:val="hpegreen"/>
                          <w:color w:val="auto"/>
                        </w:rPr>
                        <w:t>StoreOnce</w:t>
                      </w:r>
                      <w:proofErr w:type="spellEnd"/>
                      <w:r w:rsidRPr="00F864EA">
                        <w:rPr>
                          <w:rStyle w:val="hpegreen"/>
                          <w:color w:val="auto"/>
                        </w:rPr>
                        <w:t xml:space="preserve"> can speed up backups by up 17x (as compared to traditional backup methods) and allows snapshot and backup management from one console. RMC licensing is capacity-agnostic and therefore allows substantial cost savings compared to backup software that is typically licensed by capacity.</w:t>
                      </w:r>
                    </w:p>
                    <w:p w:rsidR="00F864EA" w:rsidRPr="00F864EA" w:rsidRDefault="00F864EA" w:rsidP="00F864EA">
                      <w:pPr>
                        <w:spacing w:line="190" w:lineRule="atLeast"/>
                        <w:rPr>
                          <w:rStyle w:val="hpegreen"/>
                          <w:color w:val="auto"/>
                        </w:rPr>
                      </w:pPr>
                    </w:p>
                    <w:p w:rsidR="00F864EA" w:rsidRPr="00F864EA" w:rsidRDefault="00F864EA" w:rsidP="00F864EA">
                      <w:pPr>
                        <w:spacing w:line="190" w:lineRule="atLeast"/>
                        <w:rPr>
                          <w:rStyle w:val="hpegreen"/>
                          <w:color w:val="auto"/>
                        </w:rPr>
                      </w:pPr>
                    </w:p>
                    <w:p w:rsidR="00F864EA" w:rsidRPr="00F864EA" w:rsidRDefault="00F864EA" w:rsidP="00F864EA">
                      <w:pPr>
                        <w:spacing w:line="190" w:lineRule="atLeast"/>
                        <w:rPr>
                          <w:rStyle w:val="hpegreen"/>
                          <w:color w:val="auto"/>
                        </w:rPr>
                      </w:pPr>
                    </w:p>
                    <w:p w:rsidR="00F864EA" w:rsidRPr="00F864EA" w:rsidRDefault="00F864EA" w:rsidP="00F864EA">
                      <w:pPr>
                        <w:spacing w:line="190" w:lineRule="atLeast"/>
                        <w:rPr>
                          <w:rStyle w:val="hpegreen"/>
                          <w:color w:val="auto"/>
                        </w:rPr>
                      </w:pPr>
                    </w:p>
                    <w:p w:rsidR="00F864EA" w:rsidRPr="00F864EA" w:rsidRDefault="00F864EA" w:rsidP="00F864EA">
                      <w:pPr>
                        <w:rPr>
                          <w:rStyle w:val="hpegreen"/>
                          <w:color w:val="auto"/>
                        </w:rPr>
                      </w:pPr>
                    </w:p>
                    <w:p w:rsidR="00F864EA" w:rsidRPr="00F864EA" w:rsidRDefault="00F864EA" w:rsidP="00F864EA">
                      <w:pPr>
                        <w:rPr>
                          <w:rStyle w:val="hpegreen"/>
                          <w:color w:val="auto"/>
                        </w:rPr>
                      </w:pPr>
                    </w:p>
                    <w:p w:rsidR="00F864EA" w:rsidRPr="00F864EA" w:rsidRDefault="00F864EA" w:rsidP="00F864EA">
                      <w:pPr>
                        <w:rPr>
                          <w:rStyle w:val="hpegreen"/>
                          <w:color w:val="auto"/>
                        </w:rPr>
                      </w:pPr>
                    </w:p>
                    <w:p w:rsidR="00F864EA" w:rsidRPr="00F864EA" w:rsidRDefault="00F864EA" w:rsidP="00F864EA">
                      <w:pPr>
                        <w:rPr>
                          <w:rStyle w:val="hpegreen"/>
                          <w:b/>
                          <w:color w:val="auto"/>
                        </w:rPr>
                      </w:pPr>
                    </w:p>
                    <w:p w:rsidR="00F864EA" w:rsidRPr="00F864EA" w:rsidRDefault="00F864EA" w:rsidP="00F864EA">
                      <w:pPr>
                        <w:rPr>
                          <w:rStyle w:val="hpegreen"/>
                          <w:color w:val="auto"/>
                        </w:rPr>
                      </w:pPr>
                    </w:p>
                    <w:p w:rsidR="00F864EA" w:rsidRPr="00F864EA" w:rsidRDefault="00F864EA" w:rsidP="00F864EA">
                      <w:pPr>
                        <w:rPr>
                          <w:rStyle w:val="hpegreen"/>
                          <w:color w:val="auto"/>
                        </w:rPr>
                      </w:pPr>
                      <w:r w:rsidRPr="00F864EA">
                        <w:rPr>
                          <w:rStyle w:val="hpegreen"/>
                          <w:b/>
                          <w:color w:val="auto"/>
                        </w:rPr>
                        <w:t>Backup Data Types</w:t>
                      </w:r>
                      <w:r w:rsidRPr="00F864EA">
                        <w:rPr>
                          <w:rStyle w:val="hpegreen"/>
                          <w:color w:val="auto"/>
                        </w:rPr>
                        <w:t xml:space="preserve"> </w:t>
                      </w:r>
                    </w:p>
                    <w:p w:rsidR="00F864EA" w:rsidRPr="00F864EA" w:rsidRDefault="00F864EA" w:rsidP="00F864EA">
                      <w:pPr>
                        <w:rPr>
                          <w:rStyle w:val="hpegreen"/>
                          <w:color w:val="auto"/>
                        </w:rPr>
                      </w:pPr>
                      <w:r w:rsidRPr="00F864EA">
                        <w:rPr>
                          <w:rStyle w:val="hpegreen"/>
                          <w:color w:val="auto"/>
                        </w:rPr>
                        <w:t>This chart shows the backup capacity in your environment that falls into either of these two key RMC use cases. This capacity is used to calculate the RMC benefit analysis below.</w:t>
                      </w:r>
                    </w:p>
                  </w:txbxContent>
                </v:textbox>
                <w10:wrap anchorx="page" anchory="margin"/>
              </v:rect>
            </w:pict>
          </mc:Fallback>
        </mc:AlternateContent>
      </w:r>
      <w:r w:rsidRPr="004D53D7">
        <w:t>HPE StoreOnce Recovery Manager Central</w:t>
      </w:r>
    </w:p>
    <w:p w:rsidR="00F864EA" w:rsidRPr="00F805EB" w:rsidRDefault="00F864EA" w:rsidP="00F864EA">
      <w:pPr>
        <w:pStyle w:val="hpebodycopy"/>
        <w:spacing w:after="0"/>
        <w:rPr>
          <w:sz w:val="16"/>
          <w:szCs w:val="16"/>
        </w:rPr>
      </w:pPr>
    </w:p>
    <w:bookmarkStart w:id="0" w:name="_GoBack"/>
    <w:bookmarkEnd w:id="0"/>
    <w:p w:rsidR="00F864EA" w:rsidRPr="00324611" w:rsidRDefault="00A31C53" w:rsidP="00F864EA">
      <w:pPr>
        <w:pStyle w:val="hpebodycopy"/>
        <w:rPr>
          <w:rStyle w:val="hpebodycopyChar"/>
        </w:rPr>
      </w:pPr>
      <w:r>
        <w:fldChar w:fldCharType="begin"/>
      </w:r>
      <w:r>
        <w:instrText xml:space="preserve"> HYPERLINK "http://www.hp.com/go/rm</w:instrText>
      </w:r>
      <w:r>
        <w:instrText xml:space="preserve">c" </w:instrText>
      </w:r>
      <w:r>
        <w:fldChar w:fldCharType="separate"/>
      </w:r>
      <w:r w:rsidR="00F864EA" w:rsidRPr="00324611">
        <w:rPr>
          <w:rStyle w:val="Hyperlink"/>
        </w:rPr>
        <w:t>HPE StoreOnce Recovery Manager Central software</w:t>
      </w:r>
      <w:r>
        <w:rPr>
          <w:rStyle w:val="Hyperlink"/>
        </w:rPr>
        <w:fldChar w:fldCharType="end"/>
      </w:r>
      <w:r w:rsidR="00F864EA" w:rsidRPr="00F93B3C">
        <w:rPr>
          <w:rFonts w:cstheme="minorHAnsi"/>
          <w:spacing w:val="-1"/>
          <w:szCs w:val="18"/>
        </w:rPr>
        <w:t xml:space="preserve"> </w:t>
      </w:r>
      <w:r w:rsidR="00F864EA" w:rsidRPr="00324611">
        <w:rPr>
          <w:rStyle w:val="hpebodycopyChar"/>
        </w:rPr>
        <w:t xml:space="preserve">(RMC) integrates </w:t>
      </w:r>
      <w:hyperlink r:id="rId13" w:history="1">
        <w:r w:rsidR="00F864EA" w:rsidRPr="00324611">
          <w:rPr>
            <w:rStyle w:val="hpebodycopyChar"/>
          </w:rPr>
          <w:t>HPE 3PAR primary storage</w:t>
        </w:r>
      </w:hyperlink>
      <w:r w:rsidR="00F864EA" w:rsidRPr="00324611">
        <w:rPr>
          <w:rStyle w:val="hpebodycopyChar"/>
        </w:rPr>
        <w:t xml:space="preserve"> with </w:t>
      </w:r>
      <w:hyperlink r:id="rId14" w:history="1">
        <w:r w:rsidR="00F864EA" w:rsidRPr="00324611">
          <w:rPr>
            <w:rStyle w:val="hpebodycopyChar"/>
          </w:rPr>
          <w:t>HPE StoreOnce Backup systems</w:t>
        </w:r>
      </w:hyperlink>
      <w:r w:rsidR="00F864EA" w:rsidRPr="00324611">
        <w:rPr>
          <w:rStyle w:val="hpebodycopyChar"/>
        </w:rPr>
        <w:t xml:space="preserve"> to provide converged availability and a flat backup service to augment traditional backup approaches. StoreOnce RMC combines the performance of snapshots with the protection of backups, to enable fast, reliable, and simple protection for business-critical applications.</w:t>
      </w:r>
    </w:p>
    <w:p w:rsidR="00F864EA" w:rsidRPr="00F93B3C" w:rsidRDefault="00F864EA" w:rsidP="00F864EA">
      <w:pPr>
        <w:pStyle w:val="hpebodycopy"/>
        <w:spacing w:after="0"/>
        <w:rPr>
          <w:rFonts w:cstheme="minorHAnsi"/>
          <w:szCs w:val="18"/>
          <w:lang w:eastAsia="ja-JP"/>
        </w:rPr>
      </w:pPr>
    </w:p>
    <w:p w:rsidR="00F864EA" w:rsidRPr="00F93B3C" w:rsidRDefault="00F864EA" w:rsidP="00F864EA">
      <w:pPr>
        <w:pStyle w:val="hpebulletslist"/>
        <w:ind w:left="720" w:hanging="360"/>
      </w:pPr>
      <w:r w:rsidRPr="00F93B3C">
        <w:t>Rapid online recovery</w:t>
      </w:r>
      <w:r w:rsidRPr="00F93B3C">
        <w:rPr>
          <w:spacing w:val="6"/>
        </w:rPr>
        <w:t xml:space="preserve"> </w:t>
      </w:r>
      <w:r w:rsidRPr="00F93B3C">
        <w:t>–</w:t>
      </w:r>
      <w:r w:rsidRPr="00F93B3C">
        <w:rPr>
          <w:spacing w:val="-3"/>
        </w:rPr>
        <w:t xml:space="preserve"> </w:t>
      </w:r>
      <w:r w:rsidRPr="00F93B3C">
        <w:t>VMware administrators using RMC can create hundreds</w:t>
      </w:r>
      <w:r w:rsidRPr="00F93B3C">
        <w:rPr>
          <w:spacing w:val="-3"/>
        </w:rPr>
        <w:t xml:space="preserve"> </w:t>
      </w:r>
      <w:r w:rsidRPr="00F93B3C">
        <w:t>of</w:t>
      </w:r>
      <w:r w:rsidRPr="00F93B3C">
        <w:rPr>
          <w:spacing w:val="47"/>
        </w:rPr>
        <w:t xml:space="preserve"> </w:t>
      </w:r>
      <w:r w:rsidRPr="00F93B3C">
        <w:t>non-disruptive, application consistent,</w:t>
      </w:r>
      <w:r w:rsidRPr="00F93B3C">
        <w:rPr>
          <w:spacing w:val="-3"/>
        </w:rPr>
        <w:t xml:space="preserve"> </w:t>
      </w:r>
      <w:r w:rsidRPr="00F93B3C">
        <w:t>virtual machine snapshots with rapid online recovery.</w:t>
      </w:r>
    </w:p>
    <w:p w:rsidR="00F864EA" w:rsidRPr="00F93B3C" w:rsidRDefault="00F864EA" w:rsidP="00F864EA">
      <w:pPr>
        <w:pStyle w:val="hpebulletslist"/>
        <w:ind w:left="720" w:hanging="360"/>
      </w:pPr>
      <w:r w:rsidRPr="00F93B3C">
        <w:t>Faster</w:t>
      </w:r>
      <w:r w:rsidRPr="00F93B3C">
        <w:rPr>
          <w:spacing w:val="-2"/>
        </w:rPr>
        <w:t xml:space="preserve"> </w:t>
      </w:r>
      <w:r w:rsidRPr="00F93B3C">
        <w:t>backup and restore</w:t>
      </w:r>
      <w:r w:rsidRPr="00F93B3C">
        <w:rPr>
          <w:spacing w:val="44"/>
        </w:rPr>
        <w:t xml:space="preserve"> </w:t>
      </w:r>
      <w:r w:rsidRPr="00F93B3C">
        <w:t>–</w:t>
      </w:r>
      <w:r w:rsidRPr="00F93B3C">
        <w:rPr>
          <w:spacing w:val="44"/>
        </w:rPr>
        <w:t xml:space="preserve"> </w:t>
      </w:r>
      <w:r w:rsidRPr="00F93B3C">
        <w:t>RMC’s Express Protect enables flat backup</w:t>
      </w:r>
      <w:r w:rsidRPr="00F93B3C">
        <w:rPr>
          <w:spacing w:val="55"/>
        </w:rPr>
        <w:t xml:space="preserve"> </w:t>
      </w:r>
      <w:r w:rsidRPr="00F93B3C">
        <w:t xml:space="preserve">of VM </w:t>
      </w:r>
      <w:r w:rsidRPr="00F93B3C">
        <w:rPr>
          <w:spacing w:val="-2"/>
        </w:rPr>
        <w:t>snapshot</w:t>
      </w:r>
      <w:r w:rsidRPr="00F93B3C">
        <w:t xml:space="preserve"> data from</w:t>
      </w:r>
      <w:r w:rsidRPr="00F93B3C">
        <w:rPr>
          <w:spacing w:val="-4"/>
        </w:rPr>
        <w:t xml:space="preserve"> </w:t>
      </w:r>
      <w:r>
        <w:t>HPE</w:t>
      </w:r>
      <w:r w:rsidRPr="00F93B3C">
        <w:rPr>
          <w:spacing w:val="-2"/>
        </w:rPr>
        <w:t xml:space="preserve"> </w:t>
      </w:r>
      <w:r w:rsidRPr="00F93B3C">
        <w:t>3PAR to StoreOnce,</w:t>
      </w:r>
      <w:r w:rsidRPr="00F93B3C">
        <w:rPr>
          <w:spacing w:val="-2"/>
        </w:rPr>
        <w:t xml:space="preserve"> independent of the backup application.</w:t>
      </w:r>
      <w:r w:rsidRPr="00F93B3C">
        <w:rPr>
          <w:spacing w:val="61"/>
        </w:rPr>
        <w:t xml:space="preserve"> </w:t>
      </w:r>
      <w:r w:rsidRPr="00F93B3C">
        <w:t>Compared to traditional backup it delivers 17 times faster</w:t>
      </w:r>
      <w:r w:rsidRPr="00F93B3C">
        <w:rPr>
          <w:spacing w:val="-2"/>
        </w:rPr>
        <w:t xml:space="preserve"> </w:t>
      </w:r>
      <w:r w:rsidRPr="00F93B3C">
        <w:t>backups and 5</w:t>
      </w:r>
      <w:r w:rsidRPr="00F93B3C">
        <w:rPr>
          <w:spacing w:val="-2"/>
        </w:rPr>
        <w:t xml:space="preserve"> times</w:t>
      </w:r>
      <w:r w:rsidRPr="00F93B3C">
        <w:t xml:space="preserve"> faster</w:t>
      </w:r>
      <w:r w:rsidRPr="00F93B3C">
        <w:rPr>
          <w:spacing w:val="-2"/>
        </w:rPr>
        <w:t xml:space="preserve"> </w:t>
      </w:r>
      <w:r w:rsidRPr="00F93B3C">
        <w:t>restores.</w:t>
      </w:r>
    </w:p>
    <w:p w:rsidR="00F864EA" w:rsidRPr="00F93B3C" w:rsidRDefault="00F864EA" w:rsidP="00F864EA">
      <w:pPr>
        <w:pStyle w:val="hpebulletslist"/>
        <w:ind w:left="720" w:hanging="360"/>
      </w:pPr>
      <w:r w:rsidRPr="00F93B3C">
        <w:t xml:space="preserve">Less cost and complexity – RMC flat backup simplifies the backup architecture </w:t>
      </w:r>
      <w:r>
        <w:t>needed</w:t>
      </w:r>
      <w:r w:rsidRPr="00F93B3C">
        <w:t xml:space="preserve"> for protecting and recovering VMs in VMware environments.  Using award-winning StoreOnce technology, all backups are </w:t>
      </w:r>
      <w:proofErr w:type="spellStart"/>
      <w:r w:rsidRPr="00F93B3C">
        <w:t>deduplicated</w:t>
      </w:r>
      <w:proofErr w:type="spellEnd"/>
      <w:r w:rsidRPr="00F93B3C">
        <w:t xml:space="preserve"> to reduce average backup </w:t>
      </w:r>
      <w:r>
        <w:t>capacity</w:t>
      </w:r>
      <w:r w:rsidRPr="00F93B3C">
        <w:t xml:space="preserve"> </w:t>
      </w:r>
      <w:r>
        <w:t>needs</w:t>
      </w:r>
      <w:r w:rsidRPr="00F93B3C">
        <w:t xml:space="preserve"> by up to 20 times.</w:t>
      </w:r>
    </w:p>
    <w:p w:rsidR="00F864EA" w:rsidRPr="00F93B3C" w:rsidRDefault="00F864EA" w:rsidP="00F864EA">
      <w:pPr>
        <w:pStyle w:val="hpebulletslist"/>
        <w:ind w:left="720" w:hanging="360"/>
      </w:pPr>
      <w:r w:rsidRPr="00F93B3C">
        <w:t>Application</w:t>
      </w:r>
      <w:r w:rsidRPr="00F93B3C">
        <w:rPr>
          <w:spacing w:val="1"/>
        </w:rPr>
        <w:t xml:space="preserve"> </w:t>
      </w:r>
      <w:r w:rsidRPr="00F93B3C">
        <w:t>managed data protection</w:t>
      </w:r>
      <w:r w:rsidRPr="00F93B3C">
        <w:rPr>
          <w:spacing w:val="1"/>
        </w:rPr>
        <w:t xml:space="preserve"> </w:t>
      </w:r>
      <w:r w:rsidRPr="00F93B3C">
        <w:t>–</w:t>
      </w:r>
      <w:r w:rsidRPr="00F93B3C">
        <w:rPr>
          <w:spacing w:val="-2"/>
        </w:rPr>
        <w:t xml:space="preserve"> </w:t>
      </w:r>
      <w:r w:rsidRPr="00F93B3C">
        <w:t>VMware</w:t>
      </w:r>
      <w:r w:rsidRPr="00F93B3C">
        <w:rPr>
          <w:spacing w:val="-3"/>
        </w:rPr>
        <w:t xml:space="preserve"> </w:t>
      </w:r>
      <w:r w:rsidRPr="00F93B3C">
        <w:t>administrators can monitor</w:t>
      </w:r>
      <w:r w:rsidRPr="00F93B3C">
        <w:rPr>
          <w:spacing w:val="-2"/>
        </w:rPr>
        <w:t xml:space="preserve"> </w:t>
      </w:r>
      <w:r w:rsidRPr="00F93B3C">
        <w:t>and</w:t>
      </w:r>
      <w:r w:rsidRPr="00F93B3C">
        <w:rPr>
          <w:spacing w:val="47"/>
        </w:rPr>
        <w:t xml:space="preserve"> </w:t>
      </w:r>
      <w:r w:rsidRPr="00F93B3C">
        <w:t xml:space="preserve">manage snapshots, and </w:t>
      </w:r>
      <w:r w:rsidRPr="00F93B3C">
        <w:rPr>
          <w:spacing w:val="-2"/>
        </w:rPr>
        <w:t>backup</w:t>
      </w:r>
      <w:r w:rsidRPr="00F93B3C">
        <w:t xml:space="preserve"> and </w:t>
      </w:r>
      <w:r w:rsidRPr="00F93B3C">
        <w:rPr>
          <w:spacing w:val="-2"/>
        </w:rPr>
        <w:t>recovery,</w:t>
      </w:r>
      <w:r w:rsidRPr="00F93B3C">
        <w:rPr>
          <w:spacing w:val="4"/>
        </w:rPr>
        <w:t xml:space="preserve"> </w:t>
      </w:r>
      <w:r w:rsidRPr="00F93B3C">
        <w:t xml:space="preserve">directly from within </w:t>
      </w:r>
      <w:r>
        <w:t>HPE</w:t>
      </w:r>
      <w:r w:rsidRPr="00F93B3C">
        <w:t xml:space="preserve"> </w:t>
      </w:r>
      <w:proofErr w:type="spellStart"/>
      <w:r w:rsidRPr="00F93B3C">
        <w:t>OneView</w:t>
      </w:r>
      <w:proofErr w:type="spellEnd"/>
      <w:r w:rsidRPr="00F93B3C">
        <w:t xml:space="preserve"> for VMware </w:t>
      </w:r>
      <w:proofErr w:type="spellStart"/>
      <w:r w:rsidRPr="00F93B3C">
        <w:t>vCenter</w:t>
      </w:r>
      <w:proofErr w:type="spellEnd"/>
      <w:r w:rsidRPr="00F93B3C">
        <w:t>.</w:t>
      </w:r>
    </w:p>
    <w:p w:rsidR="00F864EA" w:rsidRPr="00F93B3C" w:rsidRDefault="00F864EA" w:rsidP="00F864EA">
      <w:pPr>
        <w:pStyle w:val="hpebulletslist"/>
        <w:ind w:left="720" w:hanging="360"/>
      </w:pPr>
      <w:r w:rsidRPr="00F93B3C">
        <w:t xml:space="preserve">Reduced risk exposure - VM backups stored on </w:t>
      </w:r>
      <w:r>
        <w:t>HPE</w:t>
      </w:r>
      <w:r w:rsidRPr="00F93B3C">
        <w:t xml:space="preserve"> StoreOnce are self-contained, fully independent volumes.  Unlike snapshots, in the event of a disaster or if physical problems occur in the production storage environment, these backups can be restored to the original or a different </w:t>
      </w:r>
      <w:r>
        <w:t>HPE</w:t>
      </w:r>
      <w:r w:rsidRPr="00F93B3C">
        <w:t xml:space="preserve"> 3PAR array.</w:t>
      </w:r>
    </w:p>
    <w:p w:rsidR="00F864EA" w:rsidRPr="00F93B3C" w:rsidRDefault="00F864EA" w:rsidP="00F864EA">
      <w:pPr>
        <w:pStyle w:val="hpebulletslist"/>
        <w:ind w:left="720" w:hanging="360"/>
      </w:pPr>
      <w:r w:rsidRPr="00F93B3C">
        <w:t xml:space="preserve">The </w:t>
      </w:r>
      <w:r w:rsidRPr="00F93B3C">
        <w:rPr>
          <w:spacing w:val="-2"/>
        </w:rPr>
        <w:t>following</w:t>
      </w:r>
      <w:r w:rsidRPr="00F93B3C">
        <w:t xml:space="preserve"> </w:t>
      </w:r>
      <w:r>
        <w:t>charts</w:t>
      </w:r>
      <w:r w:rsidRPr="00F93B3C">
        <w:t xml:space="preserve"> show</w:t>
      </w:r>
      <w:r w:rsidRPr="00F93B3C">
        <w:rPr>
          <w:spacing w:val="-2"/>
        </w:rPr>
        <w:t xml:space="preserve"> </w:t>
      </w:r>
      <w:r w:rsidRPr="00F93B3C">
        <w:t>predicted savings (</w:t>
      </w:r>
      <w:r>
        <w:t>b</w:t>
      </w:r>
      <w:r w:rsidRPr="00F93B3C">
        <w:t>ackup window</w:t>
      </w:r>
      <w:r w:rsidRPr="00F93B3C">
        <w:rPr>
          <w:spacing w:val="-2"/>
        </w:rPr>
        <w:t xml:space="preserve"> </w:t>
      </w:r>
      <w:r w:rsidRPr="00F93B3C">
        <w:t xml:space="preserve">duration </w:t>
      </w:r>
      <w:r>
        <w:t>and</w:t>
      </w:r>
      <w:r w:rsidRPr="00F93B3C">
        <w:t xml:space="preserve"> </w:t>
      </w:r>
      <w:r w:rsidRPr="00F93B3C">
        <w:rPr>
          <w:spacing w:val="-2"/>
        </w:rPr>
        <w:t>licensing</w:t>
      </w:r>
      <w:r w:rsidRPr="00F93B3C">
        <w:rPr>
          <w:spacing w:val="77"/>
        </w:rPr>
        <w:t xml:space="preserve"> </w:t>
      </w:r>
      <w:r w:rsidRPr="00F93B3C">
        <w:t>costs) based on the assessed customer</w:t>
      </w:r>
      <w:r>
        <w:t>’s</w:t>
      </w:r>
      <w:r w:rsidRPr="00F93B3C">
        <w:rPr>
          <w:spacing w:val="-2"/>
        </w:rPr>
        <w:t xml:space="preserve"> </w:t>
      </w:r>
      <w:r w:rsidRPr="00F93B3C">
        <w:t>environment.</w:t>
      </w:r>
      <w:r w:rsidRPr="00F93B3C">
        <w:rPr>
          <w:spacing w:val="-2"/>
        </w:rPr>
        <w:t xml:space="preserve"> </w:t>
      </w:r>
      <w:r w:rsidRPr="00F93B3C">
        <w:t xml:space="preserve">This analysis focuses on two </w:t>
      </w:r>
      <w:r w:rsidRPr="00F93B3C">
        <w:rPr>
          <w:spacing w:val="-2"/>
        </w:rPr>
        <w:t>simple</w:t>
      </w:r>
      <w:r w:rsidRPr="00F93B3C">
        <w:rPr>
          <w:spacing w:val="1"/>
        </w:rPr>
        <w:t xml:space="preserve"> </w:t>
      </w:r>
      <w:r w:rsidRPr="00F93B3C">
        <w:t>and easy</w:t>
      </w:r>
      <w:r w:rsidRPr="00F93B3C">
        <w:rPr>
          <w:spacing w:val="4"/>
        </w:rPr>
        <w:t xml:space="preserve"> </w:t>
      </w:r>
      <w:r w:rsidRPr="00F93B3C">
        <w:t>to implement cases:</w:t>
      </w:r>
    </w:p>
    <w:p w:rsidR="00F864EA" w:rsidRPr="00F93B3C" w:rsidRDefault="00F864EA" w:rsidP="00F864EA">
      <w:pPr>
        <w:pStyle w:val="hpebulletslist"/>
        <w:numPr>
          <w:ilvl w:val="3"/>
          <w:numId w:val="10"/>
        </w:numPr>
      </w:pPr>
      <w:r w:rsidRPr="00F93B3C">
        <w:t>RMC</w:t>
      </w:r>
      <w:r w:rsidRPr="00F93B3C">
        <w:rPr>
          <w:spacing w:val="-2"/>
        </w:rPr>
        <w:t xml:space="preserve"> </w:t>
      </w:r>
      <w:r w:rsidRPr="00F93B3C">
        <w:t>for</w:t>
      </w:r>
      <w:r w:rsidRPr="00F93B3C">
        <w:rPr>
          <w:spacing w:val="-2"/>
        </w:rPr>
        <w:t xml:space="preserve"> </w:t>
      </w:r>
      <w:r w:rsidRPr="00F93B3C">
        <w:t>high-speed file backups</w:t>
      </w:r>
    </w:p>
    <w:p w:rsidR="00F864EA" w:rsidRPr="00F93B3C" w:rsidRDefault="00F864EA" w:rsidP="00F864EA">
      <w:pPr>
        <w:pStyle w:val="hpebulletslist"/>
        <w:numPr>
          <w:ilvl w:val="3"/>
          <w:numId w:val="10"/>
        </w:numPr>
      </w:pPr>
      <w:r w:rsidRPr="00F93B3C">
        <w:t>RMC-V</w:t>
      </w:r>
      <w:r w:rsidRPr="00F93B3C">
        <w:rPr>
          <w:spacing w:val="-2"/>
        </w:rPr>
        <w:t xml:space="preserve"> </w:t>
      </w:r>
      <w:r w:rsidRPr="00F93B3C">
        <w:t>for</w:t>
      </w:r>
      <w:r w:rsidRPr="00F93B3C">
        <w:rPr>
          <w:spacing w:val="-2"/>
        </w:rPr>
        <w:t xml:space="preserve"> </w:t>
      </w:r>
      <w:r w:rsidRPr="00F93B3C">
        <w:t>VM-consistent backups for</w:t>
      </w:r>
      <w:r w:rsidRPr="00F93B3C">
        <w:rPr>
          <w:spacing w:val="-2"/>
        </w:rPr>
        <w:t xml:space="preserve"> </w:t>
      </w:r>
      <w:proofErr w:type="spellStart"/>
      <w:r>
        <w:t>ESXi</w:t>
      </w:r>
      <w:proofErr w:type="spellEnd"/>
      <w:r w:rsidRPr="00F93B3C">
        <w:t xml:space="preserve"> environments</w:t>
      </w:r>
    </w:p>
    <w:p w:rsidR="00F864EA" w:rsidRPr="00F93B3C" w:rsidRDefault="00F864EA" w:rsidP="00F864EA">
      <w:pPr>
        <w:pStyle w:val="hpebodycopy"/>
      </w:pPr>
    </w:p>
    <w:p w:rsidR="00887434" w:rsidRDefault="00A31C53">
      <w:r>
        <w:rPr>
          <w:noProof/>
        </w:rPr>
        <w:drawing>
          <wp:anchor distT="0" distB="0" distL="0" distR="0" simplePos="0" relativeHeight="251657216" behindDoc="0" locked="0" layoutInCell="1" allowOverlap="1">
            <wp:simplePos x="0" y="0"/>
            <wp:positionH relativeFrom="margin">
              <wp:align>left</wp:align>
            </wp:positionH>
            <wp:positionV relativeFrom="line">
              <wp:posOffset>0</wp:posOffset>
            </wp:positionV>
            <wp:extent cx="4762500" cy="3009900"/>
            <wp:effectExtent l="0" t="0" r="0" b="0"/>
            <wp:wrapSquare wrapText="bothSides"/>
            <wp:docPr id="402651031" name="0 Imagen" descr="/tmp/RMCiMcUhw/1cc964bb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p/RMCiMcUhw/1cc964bbe5.png"/>
                    <pic:cNvPicPr/>
                  </pic:nvPicPr>
                  <pic:blipFill>
                    <a:blip r:embed="rId15" cstate="print"/>
                    <a:stretch>
                      <a:fillRect/>
                    </a:stretch>
                  </pic:blipFill>
                  <pic:spPr>
                    <a:xfrm>
                      <a:off x="0" y="0"/>
                      <a:ext cx="4762500" cy="3009900"/>
                    </a:xfrm>
                    <a:prstGeom prst="rect">
                      <a:avLst/>
                    </a:prstGeom>
                  </pic:spPr>
                </pic:pic>
              </a:graphicData>
            </a:graphic>
          </wp:anchor>
        </w:drawing>
      </w:r>
    </w:p>
    <w:p w:rsidR="00F864EA" w:rsidRDefault="00F864EA" w:rsidP="00F864EA">
      <w:pPr>
        <w:suppressAutoHyphens w:val="0"/>
        <w:spacing w:after="160" w:line="259" w:lineRule="auto"/>
      </w:pPr>
      <w:r>
        <w:br w:type="page"/>
      </w:r>
    </w:p>
    <w:p w:rsidR="00F864EA" w:rsidRPr="00F805EB" w:rsidRDefault="00F864EA" w:rsidP="00F864EA">
      <w:pPr>
        <w:rPr>
          <w:b/>
          <w:sz w:val="24"/>
          <w:szCs w:val="24"/>
        </w:rPr>
      </w:pPr>
      <w:r w:rsidRPr="00F805EB">
        <w:rPr>
          <w:rFonts w:asciiTheme="minorHAnsi" w:hAnsiTheme="minorHAnsi" w:cstheme="minorHAnsi"/>
          <w:b/>
          <w:noProof/>
          <w:sz w:val="24"/>
          <w:szCs w:val="24"/>
        </w:rPr>
        <w:lastRenderedPageBreak/>
        <mc:AlternateContent>
          <mc:Choice Requires="wps">
            <w:drawing>
              <wp:anchor distT="0" distB="0" distL="114300" distR="114300" simplePos="0" relativeHeight="251658240" behindDoc="0" locked="0" layoutInCell="1" allowOverlap="1" wp14:anchorId="73D8817D" wp14:editId="53EC8162">
                <wp:simplePos x="0" y="0"/>
                <wp:positionH relativeFrom="page">
                  <wp:posOffset>5131558</wp:posOffset>
                </wp:positionH>
                <wp:positionV relativeFrom="margin">
                  <wp:align>top</wp:align>
                </wp:positionV>
                <wp:extent cx="2194560" cy="6172200"/>
                <wp:effectExtent l="0" t="0" r="0" b="0"/>
                <wp:wrapNone/>
                <wp:docPr id="11"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4560" cy="6172200"/>
                        </a:xfrm>
                        <a:prstGeom prst="rect">
                          <a:avLst/>
                        </a:prstGeom>
                        <a:noFill/>
                        <a:ln w="15875">
                          <a:noFill/>
                        </a:ln>
                        <a:extLst/>
                      </wps:spPr>
                      <wps:style>
                        <a:lnRef idx="0">
                          <a:scrgbClr r="0" g="0" b="0"/>
                        </a:lnRef>
                        <a:fillRef idx="1002">
                          <a:schemeClr val="lt2"/>
                        </a:fillRef>
                        <a:effectRef idx="0">
                          <a:scrgbClr r="0" g="0" b="0"/>
                        </a:effectRef>
                        <a:fontRef idx="major"/>
                      </wps:style>
                      <wps:txbx>
                        <w:txbxContent>
                          <w:p w:rsidR="00F864EA" w:rsidRPr="00F864EA" w:rsidRDefault="00F864EA" w:rsidP="00F864EA">
                            <w:pPr>
                              <w:rPr>
                                <w:rStyle w:val="hpegreen"/>
                                <w:color w:val="auto"/>
                              </w:rPr>
                            </w:pPr>
                            <w:r w:rsidRPr="00F864EA">
                              <w:rPr>
                                <w:rStyle w:val="hpegreen"/>
                                <w:b/>
                                <w:color w:val="auto"/>
                              </w:rPr>
                              <w:t>Lower your licensing costs</w:t>
                            </w:r>
                            <w:r w:rsidRPr="00F864EA">
                              <w:rPr>
                                <w:rStyle w:val="hpegreen"/>
                                <w:color w:val="auto"/>
                              </w:rPr>
                              <w:t xml:space="preserve"> </w:t>
                            </w:r>
                          </w:p>
                          <w:p w:rsidR="00F864EA" w:rsidRPr="00F864EA" w:rsidRDefault="00F864EA" w:rsidP="00F864EA">
                            <w:pPr>
                              <w:spacing w:line="190" w:lineRule="atLeast"/>
                              <w:rPr>
                                <w:rStyle w:val="hpegreen"/>
                                <w:color w:val="auto"/>
                              </w:rPr>
                            </w:pPr>
                            <w:r w:rsidRPr="00F864EA">
                              <w:rPr>
                                <w:rStyle w:val="hpegreen"/>
                                <w:color w:val="auto"/>
                              </w:rPr>
                              <w:t>RMC can offset your traditional backup ISV software license charges. RMC licenses are lower cost compared to traditional ISV license charges. For File System and VM backups, the table below provides a rough cost comparison between ISV-based vs. RMC-based licensing over a three year period. Backup software licensing varies widely therefore the figures below only provide a rough estimate – the cost of $1,260/TB/year is taken from a recent Gartner report.</w:t>
                            </w:r>
                            <w:r w:rsidRPr="00F864EA">
                              <w:rPr>
                                <w:rStyle w:val="hpegreen"/>
                                <w:color w:val="auto"/>
                                <w:vertAlign w:val="superscript"/>
                              </w:rPr>
                              <w:t>1</w:t>
                            </w:r>
                          </w:p>
                          <w:p w:rsidR="00F864EA" w:rsidRPr="00F864EA" w:rsidRDefault="00F864EA" w:rsidP="00F864EA">
                            <w:pPr>
                              <w:spacing w:line="190" w:lineRule="atLeast"/>
                              <w:rPr>
                                <w:rStyle w:val="hpegreen"/>
                                <w:color w:val="auto"/>
                              </w:rPr>
                            </w:pPr>
                          </w:p>
                          <w:p w:rsidR="00F864EA" w:rsidRPr="00F864EA" w:rsidRDefault="00F864EA" w:rsidP="00F864EA">
                            <w:pPr>
                              <w:spacing w:line="190" w:lineRule="atLeast"/>
                              <w:rPr>
                                <w:rStyle w:val="hpegreen"/>
                                <w:color w:val="auto"/>
                              </w:rPr>
                            </w:pPr>
                          </w:p>
                          <w:p w:rsidR="00F864EA" w:rsidRPr="00F864EA" w:rsidRDefault="00F864EA" w:rsidP="00F864EA">
                            <w:pPr>
                              <w:spacing w:line="190" w:lineRule="atLeast"/>
                              <w:rPr>
                                <w:rStyle w:val="hpegreen"/>
                                <w:color w:val="auto"/>
                              </w:rPr>
                            </w:pPr>
                          </w:p>
                          <w:p w:rsidR="00F864EA" w:rsidRPr="00F864EA" w:rsidRDefault="00F864EA" w:rsidP="00F864EA">
                            <w:pPr>
                              <w:spacing w:line="190" w:lineRule="atLeast"/>
                              <w:rPr>
                                <w:rStyle w:val="hpegreen"/>
                                <w:color w:val="auto"/>
                              </w:rPr>
                            </w:pPr>
                          </w:p>
                          <w:p w:rsidR="00F864EA" w:rsidRPr="00F864EA" w:rsidRDefault="00F864EA" w:rsidP="00F864EA">
                            <w:pPr>
                              <w:spacing w:line="190" w:lineRule="atLeast"/>
                              <w:rPr>
                                <w:rStyle w:val="hpegreen"/>
                                <w:color w:val="auto"/>
                              </w:rPr>
                            </w:pPr>
                          </w:p>
                          <w:p w:rsidR="00F864EA" w:rsidRPr="00F864EA" w:rsidRDefault="00F864EA" w:rsidP="00F864EA">
                            <w:pPr>
                              <w:spacing w:line="190" w:lineRule="atLeast"/>
                              <w:rPr>
                                <w:rStyle w:val="hpegreen"/>
                                <w:color w:val="auto"/>
                              </w:rPr>
                            </w:pPr>
                          </w:p>
                          <w:p w:rsidR="00F864EA" w:rsidRPr="00F864EA" w:rsidRDefault="00F864EA" w:rsidP="00F864EA">
                            <w:pPr>
                              <w:spacing w:line="190" w:lineRule="atLeast"/>
                              <w:rPr>
                                <w:rStyle w:val="hpegreen"/>
                                <w:color w:val="auto"/>
                              </w:rPr>
                            </w:pPr>
                          </w:p>
                          <w:p w:rsidR="00F864EA" w:rsidRPr="00F864EA" w:rsidRDefault="00F864EA" w:rsidP="00F864EA">
                            <w:pPr>
                              <w:spacing w:line="190" w:lineRule="atLeast"/>
                              <w:rPr>
                                <w:rStyle w:val="hpegreen"/>
                                <w:color w:val="auto"/>
                              </w:rPr>
                            </w:pPr>
                          </w:p>
                          <w:p w:rsidR="00F864EA" w:rsidRDefault="00F864EA" w:rsidP="00F864EA">
                            <w:pPr>
                              <w:spacing w:line="190" w:lineRule="atLeast"/>
                              <w:rPr>
                                <w:rStyle w:val="hpegreen"/>
                              </w:rPr>
                            </w:pPr>
                          </w:p>
                          <w:p w:rsidR="00F864EA" w:rsidRPr="00CA2B92" w:rsidRDefault="00F864EA" w:rsidP="00F864EA">
                            <w:pPr>
                              <w:rPr>
                                <w:rFonts w:asciiTheme="minorHAnsi" w:hAnsiTheme="minorHAnsi" w:cstheme="minorHAnsi"/>
                                <w:sz w:val="12"/>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3D8817D" id="_x0000_s1028" style="position:absolute;margin-left:404.05pt;margin-top:0;width:172.8pt;height:486pt;z-index:251662336;visibility:visible;mso-wrap-style:square;mso-width-percent:0;mso-height-percent:0;mso-wrap-distance-left:9pt;mso-wrap-distance-top:0;mso-wrap-distance-right:9pt;mso-wrap-distance-bottom:0;mso-position-horizontal:absolute;mso-position-horizontal-relative:page;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" filled="f" stroked="f" strokeweight="1.25pt">
                <v:textbox inset="0,0,0,0">
                  <w:txbxContent>
                    <w:p w:rsidR="00F864EA" w:rsidRPr="00F864EA" w:rsidRDefault="00F864EA" w:rsidP="00F864EA">
                      <w:pPr>
                        <w:rPr>
                          <w:rStyle w:val="hpegreen"/>
                          <w:color w:val="auto"/>
                        </w:rPr>
                      </w:pPr>
                      <w:r w:rsidRPr="00F864EA">
                        <w:rPr>
                          <w:rStyle w:val="hpegreen"/>
                          <w:b/>
                          <w:color w:val="auto"/>
                        </w:rPr>
                        <w:t>Lower your licensing costs</w:t>
                      </w:r>
                      <w:r w:rsidRPr="00F864EA">
                        <w:rPr>
                          <w:rStyle w:val="hpegreen"/>
                          <w:color w:val="auto"/>
                        </w:rPr>
                        <w:t xml:space="preserve"> </w:t>
                      </w:r>
                    </w:p>
                    <w:p w:rsidR="00F864EA" w:rsidRPr="00F864EA" w:rsidRDefault="00F864EA" w:rsidP="00F864EA">
                      <w:pPr>
                        <w:spacing w:line="190" w:lineRule="atLeast"/>
                        <w:rPr>
                          <w:rStyle w:val="hpegreen"/>
                          <w:color w:val="auto"/>
                        </w:rPr>
                      </w:pPr>
                      <w:r w:rsidRPr="00F864EA">
                        <w:rPr>
                          <w:rStyle w:val="hpegreen"/>
                          <w:color w:val="auto"/>
                        </w:rPr>
                        <w:t>RMC can offset your traditional backup ISV software license charges. RMC licenses are lower cost compared to traditional ISV license charges. For File System and VM backups, the table below provides a rough cost comparison between ISV-based vs. RMC-based licensing over a three year period. Backup software licensing varies widely therefore the figures below only provide a rough estimate – the cost of $1,260/TB/year is taken from a recent Gartner report.</w:t>
                      </w:r>
                      <w:r w:rsidRPr="00F864EA">
                        <w:rPr>
                          <w:rStyle w:val="hpegreen"/>
                          <w:color w:val="auto"/>
                          <w:vertAlign w:val="superscript"/>
                        </w:rPr>
                        <w:t>1</w:t>
                      </w:r>
                    </w:p>
                    <w:p w:rsidR="00F864EA" w:rsidRPr="00F864EA" w:rsidRDefault="00F864EA" w:rsidP="00F864EA">
                      <w:pPr>
                        <w:spacing w:line="190" w:lineRule="atLeast"/>
                        <w:rPr>
                          <w:rStyle w:val="hpegreen"/>
                          <w:color w:val="auto"/>
                        </w:rPr>
                      </w:pPr>
                    </w:p>
                    <w:p w:rsidR="00F864EA" w:rsidRPr="00F864EA" w:rsidRDefault="00F864EA" w:rsidP="00F864EA">
                      <w:pPr>
                        <w:spacing w:line="190" w:lineRule="atLeast"/>
                        <w:rPr>
                          <w:rStyle w:val="hpegreen"/>
                          <w:color w:val="auto"/>
                        </w:rPr>
                      </w:pPr>
                    </w:p>
                    <w:p w:rsidR="00F864EA" w:rsidRPr="00F864EA" w:rsidRDefault="00F864EA" w:rsidP="00F864EA">
                      <w:pPr>
                        <w:spacing w:line="190" w:lineRule="atLeast"/>
                        <w:rPr>
                          <w:rStyle w:val="hpegreen"/>
                          <w:color w:val="auto"/>
                        </w:rPr>
                      </w:pPr>
                    </w:p>
                    <w:p w:rsidR="00F864EA" w:rsidRPr="00F864EA" w:rsidRDefault="00F864EA" w:rsidP="00F864EA">
                      <w:pPr>
                        <w:spacing w:line="190" w:lineRule="atLeast"/>
                        <w:rPr>
                          <w:rStyle w:val="hpegreen"/>
                          <w:color w:val="auto"/>
                        </w:rPr>
                      </w:pPr>
                    </w:p>
                    <w:p w:rsidR="00F864EA" w:rsidRPr="00F864EA" w:rsidRDefault="00F864EA" w:rsidP="00F864EA">
                      <w:pPr>
                        <w:spacing w:line="190" w:lineRule="atLeast"/>
                        <w:rPr>
                          <w:rStyle w:val="hpegreen"/>
                          <w:color w:val="auto"/>
                        </w:rPr>
                      </w:pPr>
                    </w:p>
                    <w:p w:rsidR="00F864EA" w:rsidRPr="00F864EA" w:rsidRDefault="00F864EA" w:rsidP="00F864EA">
                      <w:pPr>
                        <w:spacing w:line="190" w:lineRule="atLeast"/>
                        <w:rPr>
                          <w:rStyle w:val="hpegreen"/>
                          <w:color w:val="auto"/>
                        </w:rPr>
                      </w:pPr>
                    </w:p>
                    <w:p w:rsidR="00F864EA" w:rsidRPr="00F864EA" w:rsidRDefault="00F864EA" w:rsidP="00F864EA">
                      <w:pPr>
                        <w:spacing w:line="190" w:lineRule="atLeast"/>
                        <w:rPr>
                          <w:rStyle w:val="hpegreen"/>
                          <w:color w:val="auto"/>
                        </w:rPr>
                      </w:pPr>
                    </w:p>
                    <w:p w:rsidR="00F864EA" w:rsidRPr="00F864EA" w:rsidRDefault="00F864EA" w:rsidP="00F864EA">
                      <w:pPr>
                        <w:spacing w:line="190" w:lineRule="atLeast"/>
                        <w:rPr>
                          <w:rStyle w:val="hpegreen"/>
                          <w:color w:val="auto"/>
                        </w:rPr>
                      </w:pPr>
                    </w:p>
                    <w:p w:rsidR="00F864EA" w:rsidRDefault="00F864EA" w:rsidP="00F864EA">
                      <w:pPr>
                        <w:spacing w:line="190" w:lineRule="atLeast"/>
                        <w:rPr>
                          <w:rStyle w:val="hpegreen"/>
                        </w:rPr>
                      </w:pPr>
                    </w:p>
                    <w:p w:rsidR="00F864EA" w:rsidRPr="00CA2B92" w:rsidRDefault="00F864EA" w:rsidP="00F864EA">
                      <w:pPr>
                        <w:rPr>
                          <w:rFonts w:asciiTheme="minorHAnsi" w:hAnsiTheme="minorHAnsi" w:cstheme="minorHAnsi"/>
                          <w:sz w:val="12"/>
                        </w:rPr>
                      </w:pPr>
                    </w:p>
                  </w:txbxContent>
                </v:textbox>
                <w10:wrap anchorx="page" anchory="margin"/>
              </v:rect>
            </w:pict>
          </mc:Fallback>
        </mc:AlternateContent>
      </w:r>
      <w:r w:rsidRPr="00F805EB">
        <w:rPr>
          <w:b/>
          <w:sz w:val="24"/>
          <w:szCs w:val="24"/>
        </w:rPr>
        <w:t>RMC Licensing</w:t>
      </w:r>
    </w:p>
    <w:sdt>
      <w:sdtPr>
        <w:rPr>
          <w:rFonts w:eastAsia="Times New Roman" w:cstheme="minorHAnsi"/>
          <w:i/>
          <w:noProof/>
          <w:sz w:val="14"/>
        </w:rPr>
        <w:tag w:val="rtcRMCSavings"/>
        <w:id w:val="-854878996"/>
        <w:placeholder>
          <w:docPart w:val="F7BB6E98BE0A4755A523E00C6A1B9390"/>
        </w:placeholder>
      </w:sdtPr>
      <w:sdtEndPr>
        <w:rPr>
          <w:rFonts w:eastAsiaTheme="minorHAnsi"/>
          <w:i w:val="0"/>
          <w:noProof w:val="0"/>
          <w:sz w:val="16"/>
          <w:szCs w:val="16"/>
        </w:rPr>
      </w:sdtEndPr>
      <w:sdtContent>
        <w:p w:rsidR="00A867DA" w:rsidRPr="005975D5" w:rsidRDefault="00A867DA" w:rsidP="00F864EA">
          <w:pPr>
            <w:spacing w:after="0"/>
            <w:rPr>
              <w:rFonts w:eastAsia="Times New Roman" w:cstheme="minorHAnsi"/>
              <w:i/>
              <w:noProof/>
              <w:sz w:val="16"/>
              <w:szCs w:val="16"/>
            </w:rPr>
          </w:pPr>
        </w:p>
        <w:tbl>
          <w:tblPr>
            <w:tblStyle w:val="NPPTableStyle"/>
            <w:tblW w:w="5000" w:type="pct"/>
            <w:tblLook w:val="04A0" w:firstRow="1" w:lastRow="0" w:firstColumn="1" w:lastColumn="0" w:noHBand="0" w:noVBand="1"/>
          </w:tblPr>
          <w:tblGrid>
            <w:gridCol w:w="1307"/>
            <w:gridCol w:w="1020"/>
            <w:gridCol w:w="1813"/>
            <w:gridCol w:w="1375"/>
            <w:gridCol w:w="1613"/>
          </w:tblGrid>
          <w:tr w:rsidR="00F6736C" w:rsidTr="00F6736C">
            <w:trPr>
              <w:cnfStyle w:val="100000000000" w:firstRow="1" w:lastRow="0" w:firstColumn="0" w:lastColumn="0" w:oddVBand="0" w:evenVBand="0" w:oddHBand="0" w:evenHBand="0" w:firstRowFirstColumn="0" w:firstRowLastColumn="0" w:lastRowFirstColumn="0" w:lastRowLastColumn="0"/>
            </w:trPr>
            <w:tc>
              <w:tcPr>
                <w:tcW w:w="0" w:type="auto"/>
              </w:tcPr>
              <w:p w:rsidR="00F6736C" w:rsidRDefault="00F6736C" w:rsidP="00F82E02">
                <w:r>
                  <w:t>Data Type</w:t>
                </w:r>
              </w:p>
            </w:tc>
            <w:tc>
              <w:tcPr>
                <w:tcW w:w="0" w:type="auto"/>
              </w:tcPr>
              <w:p w:rsidR="00F6736C" w:rsidRDefault="00F6736C" w:rsidP="00F82E02">
                <w:r>
                  <w:t>Total Capacity</w:t>
                </w:r>
              </w:p>
            </w:tc>
            <w:tc>
              <w:tcPr>
                <w:tcW w:w="1272" w:type="pct"/>
              </w:tcPr>
              <w:p w:rsidR="00F6736C" w:rsidRDefault="00F6736C" w:rsidP="00F82E02">
                <w:r>
                  <w:t>Traditional backup ISV cost [per TB licensing]**</w:t>
                </w:r>
              </w:p>
            </w:tc>
            <w:tc>
              <w:tcPr>
                <w:tcW w:w="0" w:type="auto"/>
              </w:tcPr>
              <w:p w:rsidR="00F6736C" w:rsidRDefault="00F6736C" w:rsidP="00F82E02">
                <w:r>
                  <w:t>RMC-based licensing costs*</w:t>
                </w:r>
              </w:p>
            </w:tc>
            <w:tc>
              <w:tcPr>
                <w:tcW w:w="0" w:type="auto"/>
              </w:tcPr>
              <w:p w:rsidR="00F6736C" w:rsidRDefault="00F6736C" w:rsidP="00F82E02">
                <w:r>
                  <w:t>Benefit</w:t>
                </w:r>
              </w:p>
            </w:tc>
          </w:tr>
          <w:tr w:rsidR="00F6736C" w:rsidTr="00F6736C">
            <w:tc>
              <w:tcPr>
                <w:tcW w:w="0" w:type="auto"/>
              </w:tcPr>
              <w:p w:rsidR="00F6736C" w:rsidRDefault="00F6736C" w:rsidP="00F82E02">
                <w:r>
                  <w:t>File System</w:t>
                </w:r>
              </w:p>
            </w:tc>
            <w:tc>
              <w:tcPr>
                <w:tcW w:w="0" w:type="auto"/>
              </w:tcPr>
              <w:p w:rsidR="00F6736C" w:rsidRDefault="00F6736C" w:rsidP="00F82E02">
                <w:r>
                  <w:t>4.75 TB</w:t>
                </w:r>
              </w:p>
            </w:tc>
            <w:tc>
              <w:tcPr>
                <w:tcW w:w="1272" w:type="pct"/>
              </w:tcPr>
              <w:p w:rsidR="00F6736C" w:rsidRDefault="00F6736C" w:rsidP="00F82E02">
                <w:r>
                  <w:t>$17,970</w:t>
                </w:r>
              </w:p>
            </w:tc>
            <w:tc>
              <w:tcPr>
                <w:tcW w:w="0" w:type="auto"/>
              </w:tcPr>
              <w:p w:rsidR="00F6736C" w:rsidRDefault="00F6736C" w:rsidP="00F82E02">
                <w:r>
                  <w:t xml:space="preserve"> </w:t>
                </w:r>
              </w:p>
            </w:tc>
            <w:tc>
              <w:tcPr>
                <w:tcW w:w="0" w:type="auto"/>
              </w:tcPr>
              <w:p w:rsidR="00F6736C" w:rsidRDefault="00F6736C" w:rsidP="00F82E02">
                <w:r>
                  <w:t>No backup software license required</w:t>
                </w:r>
              </w:p>
            </w:tc>
          </w:tr>
          <w:tr w:rsidR="00F6736C" w:rsidTr="00F6736C">
            <w:trPr>
              <w:cnfStyle w:val="000000010000" w:firstRow="0" w:lastRow="0" w:firstColumn="0" w:lastColumn="0" w:oddVBand="0" w:evenVBand="0" w:oddHBand="0" w:evenHBand="1" w:firstRowFirstColumn="0" w:firstRowLastColumn="0" w:lastRowFirstColumn="0" w:lastRowLastColumn="0"/>
            </w:trPr>
            <w:tc>
              <w:tcPr>
                <w:tcW w:w="0" w:type="auto"/>
              </w:tcPr>
              <w:p w:rsidR="00F6736C" w:rsidRDefault="00F6736C" w:rsidP="00F82E02">
                <w:r>
                  <w:t>Virtual Machine backups</w:t>
                </w:r>
              </w:p>
            </w:tc>
            <w:tc>
              <w:tcPr>
                <w:tcW w:w="0" w:type="auto"/>
              </w:tcPr>
              <w:p w:rsidR="00F6736C" w:rsidRDefault="00F6736C" w:rsidP="00F82E02">
                <w:r>
                  <w:t>8.42 TB</w:t>
                </w:r>
              </w:p>
            </w:tc>
            <w:tc>
              <w:tcPr>
                <w:tcW w:w="1272" w:type="pct"/>
              </w:tcPr>
              <w:p w:rsidR="00F6736C" w:rsidRDefault="00F6736C" w:rsidP="00F82E02">
                <w:r>
                  <w:t>$31,835</w:t>
                </w:r>
              </w:p>
            </w:tc>
            <w:tc>
              <w:tcPr>
                <w:tcW w:w="0" w:type="auto"/>
              </w:tcPr>
              <w:p w:rsidR="00F6736C" w:rsidRDefault="00F6736C" w:rsidP="00F82E02">
                <w:r>
                  <w:t xml:space="preserve"> </w:t>
                </w:r>
              </w:p>
            </w:tc>
            <w:tc>
              <w:tcPr>
                <w:tcW w:w="0" w:type="auto"/>
              </w:tcPr>
              <w:p w:rsidR="00F6736C" w:rsidRDefault="00F6736C" w:rsidP="00F82E02">
                <w:r>
                  <w:t>No backup software license required</w:t>
                </w:r>
              </w:p>
            </w:tc>
          </w:tr>
          <w:tr w:rsidR="00F6736C" w:rsidTr="00F6736C">
            <w:tc>
              <w:tcPr>
                <w:tcW w:w="0" w:type="auto"/>
              </w:tcPr>
              <w:p w:rsidR="00F6736C" w:rsidRDefault="00F6736C" w:rsidP="00F82E02">
                <w:r>
                  <w:t xml:space="preserve"> Totals</w:t>
                </w:r>
              </w:p>
            </w:tc>
            <w:tc>
              <w:tcPr>
                <w:tcW w:w="0" w:type="auto"/>
              </w:tcPr>
              <w:p w:rsidR="00F6736C" w:rsidRDefault="00F6736C" w:rsidP="00F82E02">
                <w:r>
                  <w:t>13.18 TB</w:t>
                </w:r>
              </w:p>
            </w:tc>
            <w:tc>
              <w:tcPr>
                <w:tcW w:w="1272" w:type="pct"/>
              </w:tcPr>
              <w:p w:rsidR="00F6736C" w:rsidRDefault="00F6736C" w:rsidP="00A867DA">
                <w:pPr>
                  <w:tabs>
                    <w:tab w:val="center" w:pos="826"/>
                  </w:tabs>
                </w:pPr>
                <w:r>
                  <w:t xml:space="preserve"> $49,804</w:t>
                </w:r>
              </w:p>
            </w:tc>
            <w:tc>
              <w:tcPr>
                <w:tcW w:w="0" w:type="auto"/>
              </w:tcPr>
              <w:p w:rsidR="00F6736C" w:rsidRDefault="00F6736C" w:rsidP="00F82E02">
                <w:r>
                  <w:t>$9,300</w:t>
                </w:r>
              </w:p>
            </w:tc>
            <w:tc>
              <w:tcPr>
                <w:tcW w:w="0" w:type="auto"/>
              </w:tcPr>
              <w:p w:rsidR="00F6736C" w:rsidRDefault="00F6736C" w:rsidP="00F82E02"/>
            </w:tc>
          </w:tr>
          <w:tr w:rsidR="00A867DA" w:rsidTr="00B872F9">
            <w:trPr>
              <w:cnfStyle w:val="000000010000" w:firstRow="0" w:lastRow="0" w:firstColumn="0" w:lastColumn="0" w:oddVBand="0" w:evenVBand="0" w:oddHBand="0" w:evenHBand="1" w:firstRowFirstColumn="0" w:firstRowLastColumn="0" w:lastRowFirstColumn="0" w:lastRowLastColumn="0"/>
            </w:trPr>
            <w:tc>
              <w:tcPr>
                <w:tcW w:w="0" w:type="auto"/>
                <w:gridSpan w:val="3"/>
              </w:tcPr>
              <w:p w:rsidR="00A867DA" w:rsidRPr="00A867DA" w:rsidRDefault="00A867DA" w:rsidP="00F82E02">
                <w:pPr>
                  <w:rPr>
                    <w:b/>
                  </w:rPr>
                </w:pPr>
                <w:r w:rsidRPr="00A867DA">
                  <w:rPr>
                    <w:b/>
                  </w:rPr>
                  <w:t>Total Predicted Savings</w:t>
                </w:r>
              </w:p>
            </w:tc>
            <w:tc>
              <w:tcPr>
                <w:tcW w:w="0" w:type="auto"/>
              </w:tcPr>
              <w:p w:rsidR="00A867DA" w:rsidRDefault="00A867DA" w:rsidP="00F82E02"/>
            </w:tc>
            <w:tc>
              <w:tcPr>
                <w:tcW w:w="0" w:type="auto"/>
              </w:tcPr>
              <w:p w:rsidR="00A867DA" w:rsidRDefault="00A867DA" w:rsidP="00F82E02">
                <w:r>
                  <w:t>$40,504</w:t>
                </w:r>
              </w:p>
            </w:tc>
          </w:tr>
        </w:tbl>
        <w:p w:rsidR="00A867DA" w:rsidRDefault="00A867DA" w:rsidP="00F864EA">
          <w:pPr>
            <w:spacing w:after="0"/>
            <w:rPr>
              <w:rFonts w:eastAsia="Times New Roman" w:cstheme="minorHAnsi"/>
              <w:i/>
              <w:noProof/>
              <w:sz w:val="16"/>
              <w:szCs w:val="16"/>
            </w:rPr>
          </w:pPr>
        </w:p>
        <w:p w:rsidR="00F864EA" w:rsidRPr="005975D5" w:rsidRDefault="00F864EA" w:rsidP="00F864EA">
          <w:pPr>
            <w:spacing w:after="0"/>
            <w:rPr>
              <w:rFonts w:cstheme="minorHAnsi"/>
              <w:sz w:val="16"/>
              <w:szCs w:val="16"/>
            </w:rPr>
          </w:pPr>
          <w:r w:rsidRPr="005975D5">
            <w:rPr>
              <w:rFonts w:eastAsia="Times New Roman" w:cstheme="minorHAnsi"/>
              <w:i/>
              <w:noProof/>
              <w:sz w:val="16"/>
              <w:szCs w:val="16"/>
            </w:rPr>
            <w:t>* RMC-V license for a</w:t>
          </w:r>
          <w:r>
            <w:rPr>
              <w:rFonts w:eastAsia="Times New Roman" w:cstheme="minorHAnsi"/>
              <w:i/>
              <w:noProof/>
              <w:sz w:val="16"/>
              <w:szCs w:val="16"/>
            </w:rPr>
            <w:t xml:space="preserve"> 3PAR 74xx system – license and</w:t>
          </w:r>
          <w:r w:rsidRPr="005975D5">
            <w:rPr>
              <w:rFonts w:eastAsia="Times New Roman" w:cstheme="minorHAnsi"/>
              <w:i/>
              <w:noProof/>
              <w:sz w:val="16"/>
              <w:szCs w:val="16"/>
            </w:rPr>
            <w:t xml:space="preserve"> support.</w:t>
          </w:r>
        </w:p>
        <w:p w:rsidR="00F864EA" w:rsidRDefault="00F864EA" w:rsidP="00F864EA">
          <w:pPr>
            <w:spacing w:after="0"/>
            <w:rPr>
              <w:rFonts w:eastAsia="Times New Roman" w:cstheme="minorHAnsi"/>
              <w:i/>
              <w:noProof/>
              <w:sz w:val="16"/>
              <w:szCs w:val="16"/>
            </w:rPr>
          </w:pPr>
          <w:r w:rsidRPr="005975D5">
            <w:rPr>
              <w:rFonts w:eastAsia="Times New Roman" w:cstheme="minorHAnsi"/>
              <w:i/>
              <w:noProof/>
              <w:sz w:val="16"/>
              <w:szCs w:val="16"/>
            </w:rPr>
            <w:t>** Based on an assumed license cost /</w:t>
          </w:r>
          <w:r>
            <w:rPr>
              <w:rFonts w:eastAsia="Times New Roman" w:cstheme="minorHAnsi"/>
              <w:i/>
              <w:noProof/>
              <w:sz w:val="16"/>
              <w:szCs w:val="16"/>
            </w:rPr>
            <w:t>TB/year of $1,260 (for 3 years) – support &amp;</w:t>
          </w:r>
          <w:r w:rsidRPr="005975D5">
            <w:rPr>
              <w:rFonts w:eastAsia="Times New Roman" w:cstheme="minorHAnsi"/>
              <w:i/>
              <w:noProof/>
              <w:sz w:val="16"/>
              <w:szCs w:val="16"/>
            </w:rPr>
            <w:t xml:space="preserve"> maintenance included</w:t>
          </w:r>
          <w:r>
            <w:rPr>
              <w:rFonts w:eastAsia="Times New Roman" w:cstheme="minorHAnsi"/>
              <w:i/>
              <w:noProof/>
              <w:sz w:val="16"/>
              <w:szCs w:val="16"/>
            </w:rPr>
            <w:t>.</w:t>
          </w:r>
        </w:p>
        <w:p w:rsidR="00F864EA" w:rsidRPr="005975D5" w:rsidRDefault="00F864EA" w:rsidP="00F864EA">
          <w:pPr>
            <w:spacing w:after="0"/>
            <w:rPr>
              <w:sz w:val="16"/>
              <w:szCs w:val="16"/>
            </w:rPr>
          </w:pPr>
          <w:r>
            <w:rPr>
              <w:rFonts w:eastAsia="Times New Roman" w:cstheme="minorHAnsi"/>
              <w:i/>
              <w:noProof/>
              <w:sz w:val="16"/>
              <w:szCs w:val="16"/>
            </w:rPr>
            <w:t>*** Largest backup per datatype, per policy, per client.</w:t>
          </w:r>
        </w:p>
      </w:sdtContent>
    </w:sdt>
    <w:p w:rsidR="00F864EA" w:rsidRDefault="00F864EA" w:rsidP="00F864EA"/>
    <w:p w:rsidR="00F864EA" w:rsidRDefault="00F864EA" w:rsidP="00F864EA"/>
    <w:p w:rsidR="00887434" w:rsidRDefault="00A31C53">
      <w:r>
        <w:rPr>
          <w:noProof/>
        </w:rPr>
        <w:drawing>
          <wp:anchor distT="0" distB="0" distL="0" distR="0" simplePos="0" relativeHeight="251659264" behindDoc="0" locked="0" layoutInCell="1" allowOverlap="1">
            <wp:simplePos x="0" y="0"/>
            <wp:positionH relativeFrom="margin">
              <wp:align>left</wp:align>
            </wp:positionH>
            <wp:positionV relativeFrom="line">
              <wp:posOffset>0</wp:posOffset>
            </wp:positionV>
            <wp:extent cx="4762500" cy="3009900"/>
            <wp:effectExtent l="0" t="0" r="0" b="0"/>
            <wp:wrapSquare wrapText="bothSides"/>
            <wp:docPr id="917820334" name="0 Imagen" descr="/tmp/RMCiMcUhw/bd036ec8a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p/RMCiMcUhw/bd036ec8af.png"/>
                    <pic:cNvPicPr/>
                  </pic:nvPicPr>
                  <pic:blipFill>
                    <a:blip r:embed="rId16" cstate="print"/>
                    <a:stretch>
                      <a:fillRect/>
                    </a:stretch>
                  </pic:blipFill>
                  <pic:spPr>
                    <a:xfrm>
                      <a:off x="0" y="0"/>
                      <a:ext cx="4762500" cy="3009900"/>
                    </a:xfrm>
                    <a:prstGeom prst="rect">
                      <a:avLst/>
                    </a:prstGeom>
                  </pic:spPr>
                </pic:pic>
              </a:graphicData>
            </a:graphic>
          </wp:anchor>
        </w:drawing>
      </w:r>
    </w:p>
    <w:p w:rsidR="00F864EA" w:rsidRDefault="00F864EA" w:rsidP="00F864EA">
      <w:pPr>
        <w:pStyle w:val="hpebodycopy"/>
      </w:pPr>
    </w:p>
    <w:p w:rsidR="00F864EA" w:rsidRDefault="00F864EA" w:rsidP="00F864EA">
      <w:pPr>
        <w:pStyle w:val="hpebodycopy"/>
      </w:pPr>
      <w:r w:rsidRPr="00C746B9">
        <w:t>RMC moves data directly from 3PAR primary storage to StoreOnce. This process tightly integrates with 3PAR Virtual Copy and is effic</w:t>
      </w:r>
      <w:r>
        <w:t xml:space="preserve">ient in only moving (and </w:t>
      </w:r>
      <w:proofErr w:type="spellStart"/>
      <w:r>
        <w:t>deduplicating</w:t>
      </w:r>
      <w:proofErr w:type="spellEnd"/>
      <w:r>
        <w:t xml:space="preserve">) changed blocks. This approach eliminates lengthy </w:t>
      </w:r>
      <w:r w:rsidRPr="00C746B9">
        <w:t xml:space="preserve">file system </w:t>
      </w:r>
      <w:r>
        <w:t>tree walks</w:t>
      </w:r>
      <w:r w:rsidRPr="00C746B9">
        <w:t>.</w:t>
      </w:r>
    </w:p>
    <w:p w:rsidR="00F864EA" w:rsidRDefault="00F864EA" w:rsidP="00F864EA">
      <w:pPr>
        <w:pStyle w:val="hpebodycopy"/>
      </w:pPr>
    </w:p>
    <w:p w:rsidR="00F864EA" w:rsidRDefault="00F864EA" w:rsidP="00F864EA">
      <w:pPr>
        <w:pStyle w:val="hpebodycopy"/>
      </w:pPr>
    </w:p>
    <w:p w:rsidR="00F864EA" w:rsidRPr="006971EA" w:rsidRDefault="00F864EA" w:rsidP="00F864EA">
      <w:pPr>
        <w:pStyle w:val="hpebodycopy"/>
        <w:spacing w:after="0"/>
        <w:rPr>
          <w:sz w:val="16"/>
          <w:szCs w:val="16"/>
        </w:rPr>
      </w:pPr>
      <w:r w:rsidRPr="006971EA">
        <w:rPr>
          <w:vertAlign w:val="superscript"/>
        </w:rPr>
        <w:t>1</w:t>
      </w:r>
      <w:r>
        <w:rPr>
          <w:sz w:val="16"/>
          <w:szCs w:val="16"/>
        </w:rPr>
        <w:t xml:space="preserve"> Source: G</w:t>
      </w:r>
      <w:r w:rsidRPr="006971EA">
        <w:rPr>
          <w:sz w:val="16"/>
          <w:szCs w:val="16"/>
        </w:rPr>
        <w:t>artner (February 2014)</w:t>
      </w:r>
    </w:p>
    <w:p w:rsidR="00F864EA" w:rsidRPr="006971EA" w:rsidRDefault="00F864EA" w:rsidP="00F864EA">
      <w:pPr>
        <w:pStyle w:val="hpebodycopy"/>
        <w:spacing w:after="0"/>
        <w:rPr>
          <w:sz w:val="16"/>
          <w:szCs w:val="16"/>
        </w:rPr>
      </w:pPr>
      <w:r w:rsidRPr="006971EA">
        <w:rPr>
          <w:sz w:val="16"/>
          <w:szCs w:val="16"/>
        </w:rPr>
        <w:t>Document: Analyze the TCO of Local Backup and Cloud</w:t>
      </w:r>
    </w:p>
    <w:p w:rsidR="00F864EA" w:rsidRDefault="00F864EA" w:rsidP="00F864EA">
      <w:pPr>
        <w:suppressAutoHyphens w:val="0"/>
        <w:spacing w:after="160" w:line="259" w:lineRule="auto"/>
      </w:pPr>
      <w:r>
        <w:br w:type="page"/>
      </w:r>
    </w:p>
    <w:tbl>
      <w:tblPr>
        <w:tblStyle w:val="TableGrid"/>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16"/>
        <w:gridCol w:w="3079"/>
      </w:tblGrid>
      <w:tr w:rsidR="00F864EA" w:rsidRPr="005D4810" w:rsidTr="00F82E02">
        <w:tc>
          <w:tcPr>
            <w:tcW w:w="7375" w:type="dxa"/>
          </w:tcPr>
          <w:p w:rsidR="00F864EA" w:rsidRPr="005D4810" w:rsidRDefault="00F864EA" w:rsidP="00F82E02">
            <w:pPr>
              <w:pStyle w:val="hpebodycopy"/>
              <w:rPr>
                <w:b/>
                <w:sz w:val="24"/>
                <w:szCs w:val="24"/>
              </w:rPr>
            </w:pPr>
            <w:r w:rsidRPr="005D4810">
              <w:rPr>
                <w:b/>
                <w:sz w:val="24"/>
                <w:szCs w:val="24"/>
              </w:rPr>
              <w:lastRenderedPageBreak/>
              <w:t>Faster Backups with RMC</w:t>
            </w:r>
          </w:p>
        </w:tc>
        <w:tc>
          <w:tcPr>
            <w:tcW w:w="3420" w:type="dxa"/>
          </w:tcPr>
          <w:p w:rsidR="00F864EA" w:rsidRPr="005D4810" w:rsidRDefault="00F864EA" w:rsidP="00F82E02">
            <w:pPr>
              <w:pStyle w:val="hpebodycopy"/>
              <w:rPr>
                <w:b/>
                <w:sz w:val="24"/>
                <w:szCs w:val="24"/>
              </w:rPr>
            </w:pPr>
          </w:p>
        </w:tc>
      </w:tr>
      <w:tr w:rsidR="00F864EA" w:rsidRPr="005D4810" w:rsidTr="00F82E02">
        <w:tc>
          <w:tcPr>
            <w:tcW w:w="7375" w:type="dxa"/>
          </w:tcPr>
          <w:tbl>
            <w:tblPr>
              <w:tblStyle w:val="NPPTableStyle"/>
              <w:tblW w:w="5000" w:type="pct"/>
              <w:tblLook w:val="04A0" w:firstRow="1" w:lastRow="0" w:firstColumn="1" w:lastColumn="0" w:noHBand="0" w:noVBand="1"/>
            </w:tblPr>
            <w:tblGrid>
              <w:gridCol w:w="3017"/>
              <w:gridCol w:w="1216"/>
              <w:gridCol w:w="984"/>
              <w:gridCol w:w="1138"/>
              <w:gridCol w:w="1145"/>
            </w:tblGrid>
            <w:tr w:rsidR="0096239F" w:rsidTr="00F92D15">
              <w:trPr>
                <w:cnfStyle w:val="100000000000" w:firstRow="1" w:lastRow="0" w:firstColumn="0" w:lastColumn="0" w:oddVBand="0" w:evenVBand="0" w:oddHBand="0" w:evenHBand="0" w:firstRowFirstColumn="0" w:firstRowLastColumn="0" w:lastRowFirstColumn="0" w:lastRowLastColumn="0"/>
              </w:trPr>
              <w:tc>
                <w:tcPr>
                  <w:tcW w:w="0" w:type="auto"/>
                  <w:vAlign w:val="center"/>
                </w:tcPr>
                <w:p w:rsidR="00F92D15" w:rsidRDefault="00F92D15" w:rsidP="00F92D15">
                  <w:pPr>
                    <w:jc w:val="center"/>
                  </w:pPr>
                  <w:r>
                    <w:t>Policy Name</w:t>
                  </w:r>
                </w:p>
              </w:tc>
              <w:tc>
                <w:tcPr>
                  <w:tcW w:w="0" w:type="auto"/>
                  <w:vAlign w:val="center"/>
                </w:tcPr>
                <w:p w:rsidR="00F92D15" w:rsidRDefault="00F92D15" w:rsidP="00F92D15">
                  <w:pPr>
                    <w:jc w:val="center"/>
                  </w:pPr>
                  <w:r>
                    <w:t>Client Name</w:t>
                  </w:r>
                </w:p>
              </w:tc>
              <w:tc>
                <w:tcPr>
                  <w:tcW w:w="0" w:type="auto"/>
                  <w:vAlign w:val="center"/>
                </w:tcPr>
                <w:p w:rsidR="00F92D15" w:rsidRDefault="00F92D15" w:rsidP="00F92D15">
                  <w:pPr>
                    <w:jc w:val="center"/>
                  </w:pPr>
                  <w:r>
                    <w:t>Duration (full backup) (hours)</w:t>
                  </w:r>
                </w:p>
              </w:tc>
              <w:tc>
                <w:tcPr>
                  <w:tcW w:w="0" w:type="auto"/>
                  <w:vAlign w:val="center"/>
                </w:tcPr>
                <w:p w:rsidR="00F92D15" w:rsidRDefault="00F92D15" w:rsidP="00F92D15">
                  <w:pPr>
                    <w:jc w:val="center"/>
                  </w:pPr>
                  <w:r>
                    <w:t>Predicted backup duration (17x faster) (hours)</w:t>
                  </w:r>
                </w:p>
              </w:tc>
              <w:tc>
                <w:tcPr>
                  <w:tcW w:w="0" w:type="auto"/>
                  <w:vAlign w:val="center"/>
                </w:tcPr>
                <w:p w:rsidR="00F92D15" w:rsidRDefault="00F92D15" w:rsidP="00F92D15">
                  <w:pPr>
                    <w:jc w:val="center"/>
                  </w:pPr>
                  <w:r>
                    <w:t>Reduction in backup window duration</w:t>
                  </w:r>
                </w:p>
                <w:p w:rsidR="00F92D15" w:rsidRDefault="00F92D15" w:rsidP="00F92D15">
                  <w:pPr>
                    <w:jc w:val="center"/>
                  </w:pPr>
                  <w:r>
                    <w:t>(17x faster) (hours)</w:t>
                  </w:r>
                </w:p>
              </w:tc>
            </w:tr>
            <w:tr w:rsidR="0096239F" w:rsidTr="00F82E02">
              <w:tc>
                <w:tcPr>
                  <w:tcW w:w="0" w:type="auto"/>
                </w:tcPr>
                <w:p w:rsidR="00F92D15" w:rsidRDefault="0096239F" w:rsidP="00F92D15">
                  <w:r>
                    <w:t>OMDB01PP_FS_OS</w:t>
                  </w:r>
                </w:p>
              </w:tc>
              <w:tc>
                <w:tcPr>
                  <w:tcW w:w="0" w:type="auto"/>
                </w:tcPr>
                <w:p w:rsidR="00F92D15" w:rsidRDefault="0096239F" w:rsidP="00F92D15">
                  <w:r>
                    <w:t>omdb01pp-bck</w:t>
                  </w:r>
                </w:p>
              </w:tc>
              <w:tc>
                <w:tcPr>
                  <w:tcW w:w="0" w:type="auto"/>
                </w:tcPr>
                <w:p w:rsidR="00F92D15" w:rsidRDefault="0096239F" w:rsidP="00F92D15">
                  <w:r>
                    <w:t>40.49</w:t>
                  </w:r>
                </w:p>
              </w:tc>
              <w:tc>
                <w:tcPr>
                  <w:tcW w:w="0" w:type="auto"/>
                </w:tcPr>
                <w:p w:rsidR="00F92D15" w:rsidRDefault="0096239F" w:rsidP="00F92D15">
                  <w:r>
                    <w:t>2.38</w:t>
                  </w:r>
                </w:p>
              </w:tc>
              <w:tc>
                <w:tcPr>
                  <w:tcW w:w="0" w:type="auto"/>
                </w:tcPr>
                <w:p w:rsidR="00F92D15" w:rsidRDefault="0096239F" w:rsidP="00F92D15">
                  <w:r>
                    <w:t>38</w:t>
                  </w:r>
                </w:p>
              </w:tc>
            </w:tr>
            <w:tr w:rsidR="0096239F" w:rsidTr="00F82E02">
              <w:trPr>
                <w:cnfStyle w:val="000000010000" w:firstRow="0" w:lastRow="0" w:firstColumn="0" w:lastColumn="0" w:oddVBand="0" w:evenVBand="0" w:oddHBand="0" w:evenHBand="1" w:firstRowFirstColumn="0" w:firstRowLastColumn="0" w:lastRowFirstColumn="0" w:lastRowLastColumn="0"/>
              </w:trPr>
              <w:tc>
                <w:tcPr>
                  <w:tcW w:w="0" w:type="auto"/>
                </w:tcPr>
                <w:p w:rsidR="00F92D15" w:rsidRDefault="0096239F" w:rsidP="00F92D15">
                  <w:r>
                    <w:t>ROCEXCAS01_FS_OS</w:t>
                  </w:r>
                </w:p>
              </w:tc>
              <w:tc>
                <w:tcPr>
                  <w:tcW w:w="0" w:type="auto"/>
                </w:tcPr>
                <w:p w:rsidR="00F92D15" w:rsidRDefault="0096239F" w:rsidP="00F92D15">
                  <w:r>
                    <w:t>rocexcas01-bck</w:t>
                  </w:r>
                </w:p>
              </w:tc>
              <w:tc>
                <w:tcPr>
                  <w:tcW w:w="0" w:type="auto"/>
                </w:tcPr>
                <w:p w:rsidR="00F92D15" w:rsidRDefault="0096239F" w:rsidP="00F92D15">
                  <w:r>
                    <w:t>31.70</w:t>
                  </w:r>
                </w:p>
              </w:tc>
              <w:tc>
                <w:tcPr>
                  <w:tcW w:w="0" w:type="auto"/>
                </w:tcPr>
                <w:p w:rsidR="00F92D15" w:rsidRDefault="0096239F" w:rsidP="00F92D15">
                  <w:r>
                    <w:t>1.86</w:t>
                  </w:r>
                </w:p>
              </w:tc>
              <w:tc>
                <w:tcPr>
                  <w:tcW w:w="0" w:type="auto"/>
                </w:tcPr>
                <w:p w:rsidR="00F92D15" w:rsidRDefault="0096239F" w:rsidP="00F92D15">
                  <w:r>
                    <w:t>30</w:t>
                  </w:r>
                </w:p>
              </w:tc>
            </w:tr>
            <w:tr w:rsidR="0096239F" w:rsidTr="00F82E02">
              <w:tc>
                <w:tcPr>
                  <w:tcW w:w="0" w:type="auto"/>
                </w:tcPr>
                <w:p w:rsidR="00F92D15" w:rsidRDefault="0096239F" w:rsidP="00F92D15">
                  <w:r>
                    <w:t>ELINK01_FS_APP</w:t>
                  </w:r>
                </w:p>
              </w:tc>
              <w:tc>
                <w:tcPr>
                  <w:tcW w:w="0" w:type="auto"/>
                </w:tcPr>
                <w:p w:rsidR="00F92D15" w:rsidRDefault="0096239F" w:rsidP="00F92D15">
                  <w:r>
                    <w:t>elink01-bck</w:t>
                  </w:r>
                </w:p>
              </w:tc>
              <w:tc>
                <w:tcPr>
                  <w:tcW w:w="0" w:type="auto"/>
                </w:tcPr>
                <w:p w:rsidR="00F92D15" w:rsidRDefault="0096239F" w:rsidP="00F92D15">
                  <w:r>
                    <w:t>29.87</w:t>
                  </w:r>
                </w:p>
              </w:tc>
              <w:tc>
                <w:tcPr>
                  <w:tcW w:w="0" w:type="auto"/>
                </w:tcPr>
                <w:p w:rsidR="00F92D15" w:rsidRDefault="0096239F" w:rsidP="00F92D15">
                  <w:r>
                    <w:t>1.76</w:t>
                  </w:r>
                </w:p>
              </w:tc>
              <w:tc>
                <w:tcPr>
                  <w:tcW w:w="0" w:type="auto"/>
                </w:tcPr>
                <w:p w:rsidR="00F92D15" w:rsidRDefault="0096239F" w:rsidP="00F92D15">
                  <w:r>
                    <w:t>28</w:t>
                  </w:r>
                </w:p>
              </w:tc>
            </w:tr>
            <w:tr w:rsidR="0096239F" w:rsidTr="00F82E02">
              <w:trPr>
                <w:cnfStyle w:val="000000010000" w:firstRow="0" w:lastRow="0" w:firstColumn="0" w:lastColumn="0" w:oddVBand="0" w:evenVBand="0" w:oddHBand="0" w:evenHBand="1" w:firstRowFirstColumn="0" w:firstRowLastColumn="0" w:lastRowFirstColumn="0" w:lastRowLastColumn="0"/>
              </w:trPr>
              <w:tc>
                <w:tcPr>
                  <w:tcW w:w="0" w:type="auto"/>
                </w:tcPr>
                <w:p w:rsidR="00F92D15" w:rsidRDefault="0096239F" w:rsidP="00F92D15">
                  <w:r>
                    <w:t>ELINK01_FS_APP</w:t>
                  </w:r>
                </w:p>
              </w:tc>
              <w:tc>
                <w:tcPr>
                  <w:tcW w:w="0" w:type="auto"/>
                </w:tcPr>
                <w:p w:rsidR="00F92D15" w:rsidRDefault="0096239F" w:rsidP="00F92D15">
                  <w:r>
                    <w:t>elink01-bck</w:t>
                  </w:r>
                </w:p>
              </w:tc>
              <w:tc>
                <w:tcPr>
                  <w:tcW w:w="0" w:type="auto"/>
                </w:tcPr>
                <w:p w:rsidR="00F92D15" w:rsidRDefault="0096239F" w:rsidP="00F92D15">
                  <w:r>
                    <w:t>28.02</w:t>
                  </w:r>
                </w:p>
              </w:tc>
              <w:tc>
                <w:tcPr>
                  <w:tcW w:w="0" w:type="auto"/>
                </w:tcPr>
                <w:p w:rsidR="00F92D15" w:rsidRDefault="0096239F" w:rsidP="00F92D15">
                  <w:r>
                    <w:t>1.65</w:t>
                  </w:r>
                </w:p>
              </w:tc>
              <w:tc>
                <w:tcPr>
                  <w:tcW w:w="0" w:type="auto"/>
                </w:tcPr>
                <w:p w:rsidR="00F92D15" w:rsidRDefault="0096239F" w:rsidP="00F92D15">
                  <w:r>
                    <w:t>26</w:t>
                  </w:r>
                </w:p>
              </w:tc>
            </w:tr>
            <w:tr w:rsidR="0096239F" w:rsidTr="00F82E02">
              <w:tc>
                <w:tcPr>
                  <w:tcW w:w="0" w:type="auto"/>
                </w:tcPr>
                <w:p w:rsidR="00F92D15" w:rsidRDefault="0096239F" w:rsidP="00F92D15">
                  <w:r>
                    <w:t>ELINK01_AD_ELPAPPS_5YR</w:t>
                  </w:r>
                </w:p>
              </w:tc>
              <w:tc>
                <w:tcPr>
                  <w:tcW w:w="0" w:type="auto"/>
                </w:tcPr>
                <w:p w:rsidR="00F92D15" w:rsidRDefault="0096239F" w:rsidP="00F92D15">
                  <w:r>
                    <w:t>elink01-bck</w:t>
                  </w:r>
                </w:p>
              </w:tc>
              <w:tc>
                <w:tcPr>
                  <w:tcW w:w="0" w:type="auto"/>
                </w:tcPr>
                <w:p w:rsidR="00F92D15" w:rsidRDefault="0096239F" w:rsidP="00F92D15">
                  <w:r>
                    <w:t>27.22</w:t>
                  </w:r>
                </w:p>
              </w:tc>
              <w:tc>
                <w:tcPr>
                  <w:tcW w:w="0" w:type="auto"/>
                </w:tcPr>
                <w:p w:rsidR="00F92D15" w:rsidRDefault="0096239F" w:rsidP="00F92D15">
                  <w:r>
                    <w:t>1.60</w:t>
                  </w:r>
                </w:p>
              </w:tc>
              <w:tc>
                <w:tcPr>
                  <w:tcW w:w="0" w:type="auto"/>
                </w:tcPr>
                <w:p w:rsidR="00F92D15" w:rsidRDefault="0096239F" w:rsidP="00F92D15">
                  <w:r>
                    <w:t>26</w:t>
                  </w:r>
                </w:p>
              </w:tc>
            </w:tr>
            <w:tr w:rsidR="0096239F" w:rsidTr="00F82E02">
              <w:trPr>
                <w:cnfStyle w:val="000000010000" w:firstRow="0" w:lastRow="0" w:firstColumn="0" w:lastColumn="0" w:oddVBand="0" w:evenVBand="0" w:oddHBand="0" w:evenHBand="1" w:firstRowFirstColumn="0" w:firstRowLastColumn="0" w:lastRowFirstColumn="0" w:lastRowLastColumn="0"/>
              </w:trPr>
              <w:tc>
                <w:tcPr>
                  <w:tcW w:w="0" w:type="auto"/>
                </w:tcPr>
                <w:p w:rsidR="00F92D15" w:rsidRDefault="0096239F" w:rsidP="00F92D15">
                  <w:r>
                    <w:t>ELINK01_AD_ELPAPPS_1YR</w:t>
                  </w:r>
                </w:p>
              </w:tc>
              <w:tc>
                <w:tcPr>
                  <w:tcW w:w="0" w:type="auto"/>
                </w:tcPr>
                <w:p w:rsidR="00F92D15" w:rsidRDefault="0096239F" w:rsidP="00F92D15">
                  <w:r>
                    <w:t>elink01-bck</w:t>
                  </w:r>
                </w:p>
              </w:tc>
              <w:tc>
                <w:tcPr>
                  <w:tcW w:w="0" w:type="auto"/>
                </w:tcPr>
                <w:p w:rsidR="00F92D15" w:rsidRDefault="0096239F" w:rsidP="00F92D15">
                  <w:r>
                    <w:t>25.28</w:t>
                  </w:r>
                </w:p>
              </w:tc>
              <w:tc>
                <w:tcPr>
                  <w:tcW w:w="0" w:type="auto"/>
                </w:tcPr>
                <w:p w:rsidR="00F92D15" w:rsidRDefault="0096239F" w:rsidP="00F92D15">
                  <w:r>
                    <w:t>1.49</w:t>
                  </w:r>
                </w:p>
              </w:tc>
              <w:tc>
                <w:tcPr>
                  <w:tcW w:w="0" w:type="auto"/>
                </w:tcPr>
                <w:p w:rsidR="00F92D15" w:rsidRDefault="0096239F" w:rsidP="00F92D15">
                  <w:r>
                    <w:t>24</w:t>
                  </w:r>
                </w:p>
              </w:tc>
            </w:tr>
            <w:tr w:rsidR="0096239F" w:rsidTr="00F82E02">
              <w:tc>
                <w:tcPr>
                  <w:tcW w:w="0" w:type="auto"/>
                </w:tcPr>
                <w:p w:rsidR="00F92D15" w:rsidRDefault="0096239F" w:rsidP="00F92D15">
                  <w:r>
                    <w:t>M1DW01_DB_DATAM_RO_COLD</w:t>
                  </w:r>
                </w:p>
              </w:tc>
              <w:tc>
                <w:tcPr>
                  <w:tcW w:w="0" w:type="auto"/>
                </w:tcPr>
                <w:p w:rsidR="00F92D15" w:rsidRDefault="0096239F" w:rsidP="00F92D15">
                  <w:r>
                    <w:t>m1dw01-bck</w:t>
                  </w:r>
                </w:p>
              </w:tc>
              <w:tc>
                <w:tcPr>
                  <w:tcW w:w="0" w:type="auto"/>
                </w:tcPr>
                <w:p w:rsidR="00F92D15" w:rsidRDefault="0096239F" w:rsidP="00F92D15">
                  <w:r>
                    <w:t>22.19</w:t>
                  </w:r>
                </w:p>
              </w:tc>
              <w:tc>
                <w:tcPr>
                  <w:tcW w:w="0" w:type="auto"/>
                </w:tcPr>
                <w:p w:rsidR="00F92D15" w:rsidRDefault="0096239F" w:rsidP="00F92D15">
                  <w:r>
                    <w:t>1.31</w:t>
                  </w:r>
                </w:p>
              </w:tc>
              <w:tc>
                <w:tcPr>
                  <w:tcW w:w="0" w:type="auto"/>
                </w:tcPr>
                <w:p w:rsidR="00F92D15" w:rsidRDefault="0096239F" w:rsidP="00F92D15">
                  <w:r>
                    <w:t>21</w:t>
                  </w:r>
                </w:p>
              </w:tc>
            </w:tr>
            <w:tr w:rsidR="0096239F" w:rsidTr="00F82E02">
              <w:trPr>
                <w:cnfStyle w:val="000000010000" w:firstRow="0" w:lastRow="0" w:firstColumn="0" w:lastColumn="0" w:oddVBand="0" w:evenVBand="0" w:oddHBand="0" w:evenHBand="1" w:firstRowFirstColumn="0" w:firstRowLastColumn="0" w:lastRowFirstColumn="0" w:lastRowLastColumn="0"/>
              </w:trPr>
              <w:tc>
                <w:tcPr>
                  <w:tcW w:w="0" w:type="auto"/>
                </w:tcPr>
                <w:p w:rsidR="00F92D15" w:rsidRDefault="0096239F" w:rsidP="00F92D15">
                  <w:r>
                    <w:t>ELINK01_FS_APP</w:t>
                  </w:r>
                </w:p>
              </w:tc>
              <w:tc>
                <w:tcPr>
                  <w:tcW w:w="0" w:type="auto"/>
                </w:tcPr>
                <w:p w:rsidR="00F92D15" w:rsidRDefault="0096239F" w:rsidP="00F92D15">
                  <w:r>
                    <w:t>elink01-bck</w:t>
                  </w:r>
                </w:p>
              </w:tc>
              <w:tc>
                <w:tcPr>
                  <w:tcW w:w="0" w:type="auto"/>
                </w:tcPr>
                <w:p w:rsidR="00F92D15" w:rsidRDefault="0096239F" w:rsidP="00F92D15">
                  <w:r>
                    <w:t>20.85</w:t>
                  </w:r>
                </w:p>
              </w:tc>
              <w:tc>
                <w:tcPr>
                  <w:tcW w:w="0" w:type="auto"/>
                </w:tcPr>
                <w:p w:rsidR="00F92D15" w:rsidRDefault="0096239F" w:rsidP="00F92D15">
                  <w:r>
                    <w:t>1.23</w:t>
                  </w:r>
                </w:p>
              </w:tc>
              <w:tc>
                <w:tcPr>
                  <w:tcW w:w="0" w:type="auto"/>
                </w:tcPr>
                <w:p w:rsidR="00F92D15" w:rsidRDefault="0096239F" w:rsidP="00F92D15">
                  <w:r>
                    <w:t>20</w:t>
                  </w:r>
                </w:p>
              </w:tc>
            </w:tr>
            <w:tr w:rsidR="0096239F" w:rsidTr="00F82E02">
              <w:tc>
                <w:tcPr>
                  <w:tcW w:w="0" w:type="auto"/>
                </w:tcPr>
                <w:p w:rsidR="00F92D15" w:rsidRDefault="0096239F" w:rsidP="00F92D15">
                  <w:r>
                    <w:t>ELINK01_FS_APP</w:t>
                  </w:r>
                </w:p>
              </w:tc>
              <w:tc>
                <w:tcPr>
                  <w:tcW w:w="0" w:type="auto"/>
                </w:tcPr>
                <w:p w:rsidR="00F92D15" w:rsidRDefault="0096239F" w:rsidP="00F92D15">
                  <w:r>
                    <w:t>elink01-bck</w:t>
                  </w:r>
                </w:p>
              </w:tc>
              <w:tc>
                <w:tcPr>
                  <w:tcW w:w="0" w:type="auto"/>
                </w:tcPr>
                <w:p w:rsidR="00F92D15" w:rsidRDefault="0096239F" w:rsidP="00F92D15">
                  <w:r>
                    <w:t>20.68</w:t>
                  </w:r>
                </w:p>
              </w:tc>
              <w:tc>
                <w:tcPr>
                  <w:tcW w:w="0" w:type="auto"/>
                </w:tcPr>
                <w:p w:rsidR="00F92D15" w:rsidRDefault="0096239F" w:rsidP="00F92D15">
                  <w:r>
                    <w:t>1.22</w:t>
                  </w:r>
                </w:p>
              </w:tc>
              <w:tc>
                <w:tcPr>
                  <w:tcW w:w="0" w:type="auto"/>
                </w:tcPr>
                <w:p w:rsidR="00F92D15" w:rsidRDefault="0096239F" w:rsidP="00F92D15">
                  <w:r>
                    <w:t>19</w:t>
                  </w:r>
                </w:p>
              </w:tc>
            </w:tr>
            <w:tr w:rsidR="0096239F" w:rsidTr="00F82E02">
              <w:trPr>
                <w:cnfStyle w:val="000000010000" w:firstRow="0" w:lastRow="0" w:firstColumn="0" w:lastColumn="0" w:oddVBand="0" w:evenVBand="0" w:oddHBand="0" w:evenHBand="1" w:firstRowFirstColumn="0" w:firstRowLastColumn="0" w:lastRowFirstColumn="0" w:lastRowLastColumn="0"/>
              </w:trPr>
              <w:tc>
                <w:tcPr>
                  <w:tcW w:w="0" w:type="auto"/>
                </w:tcPr>
                <w:p w:rsidR="00F92D15" w:rsidRDefault="0096239F" w:rsidP="00F92D15">
                  <w:r>
                    <w:t>EDMSAPP_FS_APPS</w:t>
                  </w:r>
                </w:p>
              </w:tc>
              <w:tc>
                <w:tcPr>
                  <w:tcW w:w="0" w:type="auto"/>
                </w:tcPr>
                <w:p w:rsidR="00F92D15" w:rsidRDefault="0096239F" w:rsidP="00F92D15">
                  <w:r>
                    <w:t>edmsapp-bck</w:t>
                  </w:r>
                </w:p>
              </w:tc>
              <w:tc>
                <w:tcPr>
                  <w:tcW w:w="0" w:type="auto"/>
                </w:tcPr>
                <w:p w:rsidR="00F92D15" w:rsidRDefault="0096239F" w:rsidP="00F92D15">
                  <w:r>
                    <w:t>19.83</w:t>
                  </w:r>
                </w:p>
              </w:tc>
              <w:tc>
                <w:tcPr>
                  <w:tcW w:w="0" w:type="auto"/>
                </w:tcPr>
                <w:p w:rsidR="00F92D15" w:rsidRDefault="0096239F" w:rsidP="00F92D15">
                  <w:r>
                    <w:t>1.17</w:t>
                  </w:r>
                </w:p>
              </w:tc>
              <w:tc>
                <w:tcPr>
                  <w:tcW w:w="0" w:type="auto"/>
                </w:tcPr>
                <w:p w:rsidR="00F92D15" w:rsidRDefault="0096239F" w:rsidP="00F92D15">
                  <w:r>
                    <w:t>19</w:t>
                  </w:r>
                </w:p>
              </w:tc>
            </w:tr>
            <w:tr w:rsidR="0083657B" w:rsidTr="00F82E02">
              <w:tc>
                <w:tcPr>
                  <w:tcW w:w="0" w:type="auto"/>
                </w:tcPr>
                <w:p w:rsidR="0083657B" w:rsidRPr="0083657B" w:rsidRDefault="0083657B" w:rsidP="00F92D15">
                  <w:pPr>
                    <w:rPr>
                      <w:b/>
                    </w:rPr>
                  </w:pPr>
                  <w:r w:rsidRPr="0083657B">
                    <w:rPr>
                      <w:b/>
                    </w:rPr>
                    <w:t>Total</w:t>
                  </w:r>
                </w:p>
              </w:tc>
              <w:tc>
                <w:tcPr>
                  <w:tcW w:w="0" w:type="auto"/>
                </w:tcPr>
                <w:p w:rsidR="0083657B" w:rsidRPr="0083657B" w:rsidRDefault="0083657B" w:rsidP="00F92D15">
                  <w:pPr>
                    <w:rPr>
                      <w:b/>
                    </w:rPr>
                  </w:pPr>
                </w:p>
              </w:tc>
              <w:tc>
                <w:tcPr>
                  <w:tcW w:w="0" w:type="auto"/>
                </w:tcPr>
                <w:p w:rsidR="0083657B" w:rsidRPr="0083657B" w:rsidRDefault="0083657B" w:rsidP="00F92D15">
                  <w:pPr>
                    <w:rPr>
                      <w:b/>
                    </w:rPr>
                  </w:pPr>
                  <w:r>
                    <w:rPr>
                      <w:b/>
                    </w:rPr>
                    <w:t>266</w:t>
                  </w:r>
                </w:p>
              </w:tc>
              <w:tc>
                <w:tcPr>
                  <w:tcW w:w="0" w:type="auto"/>
                </w:tcPr>
                <w:p w:rsidR="0083657B" w:rsidRPr="0083657B" w:rsidRDefault="0083657B" w:rsidP="00F92D15">
                  <w:pPr>
                    <w:rPr>
                      <w:b/>
                    </w:rPr>
                  </w:pPr>
                  <w:r>
                    <w:rPr>
                      <w:b/>
                    </w:rPr>
                    <w:t>16</w:t>
                  </w:r>
                </w:p>
              </w:tc>
              <w:tc>
                <w:tcPr>
                  <w:tcW w:w="0" w:type="auto"/>
                </w:tcPr>
                <w:p w:rsidR="0083657B" w:rsidRPr="0083657B" w:rsidRDefault="0083657B" w:rsidP="00F92D15">
                  <w:pPr>
                    <w:rPr>
                      <w:b/>
                    </w:rPr>
                  </w:pPr>
                  <w:r>
                    <w:rPr>
                      <w:b/>
                    </w:rPr>
                    <w:t>250</w:t>
                  </w:r>
                </w:p>
              </w:tc>
            </w:tr>
          </w:tbl>
          <w:p w:rsidR="00F864EA" w:rsidRPr="005D4810" w:rsidRDefault="00F864EA" w:rsidP="00F82E02">
            <w:pPr>
              <w:pStyle w:val="hpebodycopy"/>
            </w:pPr>
          </w:p>
        </w:tc>
        <w:tc>
          <w:tcPr>
            <w:tcW w:w="3420" w:type="dxa"/>
          </w:tcPr>
          <w:p w:rsidR="00F864EA" w:rsidRPr="00F864EA" w:rsidRDefault="00F864EA" w:rsidP="00F82E02">
            <w:pPr>
              <w:rPr>
                <w:rStyle w:val="hpegreen"/>
                <w:color w:val="auto"/>
              </w:rPr>
            </w:pPr>
            <w:r w:rsidRPr="00F864EA">
              <w:rPr>
                <w:rStyle w:val="hpegreen"/>
                <w:b/>
                <w:color w:val="auto"/>
              </w:rPr>
              <w:t>Lower your licensing costs</w:t>
            </w:r>
            <w:r w:rsidRPr="00F864EA">
              <w:rPr>
                <w:rStyle w:val="hpegreen"/>
                <w:color w:val="auto"/>
              </w:rPr>
              <w:t xml:space="preserve"> </w:t>
            </w:r>
          </w:p>
          <w:p w:rsidR="00F864EA" w:rsidRPr="00F864EA" w:rsidRDefault="00F864EA" w:rsidP="00F82E02">
            <w:pPr>
              <w:spacing w:line="190" w:lineRule="atLeast"/>
              <w:rPr>
                <w:rStyle w:val="hpegreen"/>
                <w:color w:val="auto"/>
              </w:rPr>
            </w:pPr>
            <w:r w:rsidRPr="00F864EA">
              <w:rPr>
                <w:rStyle w:val="hpegreen"/>
                <w:color w:val="auto"/>
              </w:rPr>
              <w:t>The table to the left lists the top 10 file-system based backups and their duration. RMC can speed up file backups by up to 17x helping to keep backups within SLAs.</w:t>
            </w:r>
          </w:p>
          <w:p w:rsidR="00F864EA" w:rsidRPr="00F864EA" w:rsidRDefault="00F864EA" w:rsidP="00F82E02">
            <w:pPr>
              <w:pStyle w:val="hpebodycopy"/>
              <w:rPr>
                <w:color w:val="auto"/>
              </w:rPr>
            </w:pPr>
          </w:p>
        </w:tc>
      </w:tr>
      <w:tr w:rsidR="00F864EA" w:rsidRPr="005D4810" w:rsidTr="00F82E02">
        <w:tc>
          <w:tcPr>
            <w:tcW w:w="7375" w:type="dxa"/>
          </w:tcPr>
          <w:p w:rsidR="00F864EA" w:rsidRPr="005D4810" w:rsidRDefault="00F864EA" w:rsidP="00F82E02">
            <w:pPr>
              <w:pStyle w:val="hpebodycopy"/>
              <w:rPr>
                <w:rFonts w:asciiTheme="minorHAnsi" w:hAnsiTheme="minorHAnsi"/>
              </w:rPr>
            </w:pPr>
          </w:p>
        </w:tc>
        <w:tc>
          <w:tcPr>
            <w:tcW w:w="3420" w:type="dxa"/>
          </w:tcPr>
          <w:p w:rsidR="00F864EA" w:rsidRPr="00F864EA" w:rsidRDefault="00F864EA" w:rsidP="00F82E02">
            <w:pPr>
              <w:pStyle w:val="hpebodycopy"/>
              <w:rPr>
                <w:rFonts w:asciiTheme="minorHAnsi" w:hAnsiTheme="minorHAnsi"/>
                <w:color w:val="auto"/>
              </w:rPr>
            </w:pPr>
          </w:p>
        </w:tc>
      </w:tr>
      <w:tr w:rsidR="00F864EA" w:rsidRPr="005D4810" w:rsidTr="00F82E02">
        <w:tc>
          <w:tcPr>
            <w:tcW w:w="7375" w:type="dxa"/>
          </w:tcPr>
          <w:p w:rsidR="00887434" w:rsidRDefault="00A31C53">
            <w:r>
              <w:rPr>
                <w:noProof/>
              </w:rPr>
              <w:drawing>
                <wp:anchor distT="0" distB="0" distL="0" distR="0" simplePos="0" relativeHeight="251660288" behindDoc="0" locked="0" layoutInCell="1" allowOverlap="1">
                  <wp:simplePos x="0" y="0"/>
                  <wp:positionH relativeFrom="margin">
                    <wp:align>left</wp:align>
                  </wp:positionH>
                  <wp:positionV relativeFrom="line">
                    <wp:posOffset>0</wp:posOffset>
                  </wp:positionV>
                  <wp:extent cx="4762500" cy="3009900"/>
                  <wp:effectExtent l="0" t="0" r="0" b="0"/>
                  <wp:wrapSquare wrapText="bothSides"/>
                  <wp:docPr id="970389328" name="0 Imagen" descr="/tmp/RMCiMcUhw/2f1af2c8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p/RMCiMcUhw/2f1af2c843.png"/>
                          <pic:cNvPicPr/>
                        </pic:nvPicPr>
                        <pic:blipFill>
                          <a:blip r:embed="rId17" cstate="print"/>
                          <a:stretch>
                            <a:fillRect/>
                          </a:stretch>
                        </pic:blipFill>
                        <pic:spPr>
                          <a:xfrm>
                            <a:off x="0" y="0"/>
                            <a:ext cx="4762500" cy="3009900"/>
                          </a:xfrm>
                          <a:prstGeom prst="rect">
                            <a:avLst/>
                          </a:prstGeom>
                        </pic:spPr>
                      </pic:pic>
                    </a:graphicData>
                  </a:graphic>
                </wp:anchor>
              </w:drawing>
            </w:r>
          </w:p>
        </w:tc>
        <w:tc>
          <w:tcPr>
            <w:tcW w:w="3420" w:type="dxa"/>
          </w:tcPr>
          <w:p w:rsidR="00F864EA" w:rsidRPr="00F864EA" w:rsidRDefault="00F864EA" w:rsidP="00F82E02">
            <w:pPr>
              <w:spacing w:line="190" w:lineRule="atLeast"/>
              <w:rPr>
                <w:rStyle w:val="hpegreen"/>
                <w:b/>
                <w:color w:val="auto"/>
              </w:rPr>
            </w:pPr>
            <w:r w:rsidRPr="00F864EA">
              <w:rPr>
                <w:rStyle w:val="hpegreen"/>
                <w:b/>
                <w:color w:val="auto"/>
              </w:rPr>
              <w:t>Smaller overall backup window for file system data</w:t>
            </w:r>
          </w:p>
          <w:p w:rsidR="00F864EA" w:rsidRPr="00F864EA" w:rsidRDefault="00F864EA" w:rsidP="00F82E02">
            <w:pPr>
              <w:spacing w:line="190" w:lineRule="atLeast"/>
              <w:rPr>
                <w:rStyle w:val="hpegreen"/>
                <w:color w:val="auto"/>
              </w:rPr>
            </w:pPr>
            <w:r w:rsidRPr="00F864EA">
              <w:rPr>
                <w:rStyle w:val="hpegreen"/>
                <w:color w:val="auto"/>
              </w:rPr>
              <w:t>The chart show the overall reduction in the backup window that can be achieved with RMC when backing up file system data.</w:t>
            </w:r>
          </w:p>
          <w:p w:rsidR="00F864EA" w:rsidRPr="00F864EA" w:rsidRDefault="00F864EA" w:rsidP="00F82E02">
            <w:pPr>
              <w:pStyle w:val="hpebodycopy"/>
              <w:rPr>
                <w:rFonts w:asciiTheme="minorHAnsi" w:hAnsiTheme="minorHAnsi"/>
                <w:color w:val="auto"/>
              </w:rPr>
            </w:pPr>
          </w:p>
        </w:tc>
      </w:tr>
      <w:tr w:rsidR="00F864EA" w:rsidRPr="005D4810" w:rsidTr="00F82E02">
        <w:tc>
          <w:tcPr>
            <w:tcW w:w="7375" w:type="dxa"/>
          </w:tcPr>
          <w:p w:rsidR="00F864EA" w:rsidRPr="005D4810" w:rsidRDefault="00F864EA" w:rsidP="00F82E02">
            <w:pPr>
              <w:pStyle w:val="hpebodycopy"/>
            </w:pPr>
          </w:p>
        </w:tc>
        <w:tc>
          <w:tcPr>
            <w:tcW w:w="3420" w:type="dxa"/>
          </w:tcPr>
          <w:p w:rsidR="00F864EA" w:rsidRPr="005D4810" w:rsidRDefault="00F864EA" w:rsidP="00F82E02">
            <w:pPr>
              <w:pStyle w:val="hpebodycopy"/>
            </w:pPr>
          </w:p>
        </w:tc>
      </w:tr>
      <w:tr w:rsidR="00F864EA" w:rsidRPr="005D4810" w:rsidTr="00F82E02">
        <w:tc>
          <w:tcPr>
            <w:tcW w:w="7375" w:type="dxa"/>
          </w:tcPr>
          <w:p w:rsidR="00F864EA" w:rsidRPr="005D4810" w:rsidRDefault="00F864EA" w:rsidP="00F82E02">
            <w:pPr>
              <w:pStyle w:val="hpebodycopy"/>
              <w:rPr>
                <w:b/>
                <w:sz w:val="32"/>
                <w:szCs w:val="32"/>
              </w:rPr>
            </w:pPr>
            <w:r w:rsidRPr="005D4810">
              <w:rPr>
                <w:b/>
                <w:sz w:val="32"/>
                <w:szCs w:val="32"/>
              </w:rPr>
              <w:t xml:space="preserve">Learn more at: </w:t>
            </w:r>
          </w:p>
        </w:tc>
        <w:tc>
          <w:tcPr>
            <w:tcW w:w="3420" w:type="dxa"/>
          </w:tcPr>
          <w:p w:rsidR="00F864EA" w:rsidRPr="005D4810" w:rsidRDefault="00F864EA" w:rsidP="00F82E02">
            <w:pPr>
              <w:pStyle w:val="hpebodycopy"/>
              <w:rPr>
                <w:b/>
                <w:sz w:val="32"/>
                <w:szCs w:val="32"/>
              </w:rPr>
            </w:pPr>
          </w:p>
        </w:tc>
      </w:tr>
      <w:tr w:rsidR="00F864EA" w:rsidRPr="005D4810" w:rsidTr="00F82E02">
        <w:tc>
          <w:tcPr>
            <w:tcW w:w="7375" w:type="dxa"/>
          </w:tcPr>
          <w:p w:rsidR="00F864EA" w:rsidRPr="005D4810" w:rsidRDefault="00A31C53" w:rsidP="00720047">
            <w:pPr>
              <w:rPr>
                <w:rStyle w:val="Hyperlink"/>
              </w:rPr>
            </w:pPr>
            <w:hyperlink r:id="rId18" w:tooltip="StoreOnce-RMC" w:history="1">
              <w:r w:rsidR="00F864EA" w:rsidRPr="007C0BF0">
                <w:rPr>
                  <w:rStyle w:val="Hyperlink"/>
                  <w:sz w:val="20"/>
                </w:rPr>
                <w:t>http://www8.hp.com/us/en/products/data-storage/storeonce-rmc.html</w:t>
              </w:r>
            </w:hyperlink>
          </w:p>
        </w:tc>
        <w:tc>
          <w:tcPr>
            <w:tcW w:w="3420" w:type="dxa"/>
          </w:tcPr>
          <w:p w:rsidR="00F864EA" w:rsidRPr="005D4810" w:rsidRDefault="00F864EA" w:rsidP="00F82E02">
            <w:pPr>
              <w:rPr>
                <w:rStyle w:val="Hyperlink"/>
              </w:rPr>
            </w:pPr>
          </w:p>
        </w:tc>
      </w:tr>
    </w:tbl>
    <w:p w:rsidR="008039F1" w:rsidRDefault="008039F1" w:rsidP="00720047">
      <w:pPr>
        <w:pStyle w:val="hpecomurl"/>
      </w:pPr>
    </w:p>
    <w:p w:rsidR="00D427AA" w:rsidRPr="00D427AA" w:rsidRDefault="00D427AA" w:rsidP="00720047">
      <w:pPr>
        <w:pStyle w:val="hpecomurl"/>
        <w:rPr>
          <w:rFonts w:asciiTheme="minorHAnsi" w:hAnsiTheme="minorHAnsi" w:cstheme="minorHAnsi"/>
          <w:u w:val="none"/>
        </w:rPr>
      </w:pPr>
      <w:r w:rsidRPr="00D427AA">
        <w:rPr>
          <w:rFonts w:asciiTheme="minorHAnsi" w:hAnsiTheme="minorHAnsi" w:cstheme="minorHAnsi"/>
          <w:u w:val="none"/>
        </w:rPr>
        <w:t xml:space="preserve">HPE TS Storage Consulting offers a </w:t>
      </w:r>
      <w:hyperlink r:id="rId19" w:history="1">
        <w:r w:rsidRPr="00D427AA">
          <w:rPr>
            <w:rStyle w:val="Hyperlink"/>
            <w:rFonts w:asciiTheme="minorHAnsi" w:hAnsiTheme="minorHAnsi" w:cstheme="minorHAnsi"/>
          </w:rPr>
          <w:t>Backup &amp; Recovery Impact Analysis Service</w:t>
        </w:r>
      </w:hyperlink>
      <w:r w:rsidRPr="00D427AA">
        <w:rPr>
          <w:rFonts w:asciiTheme="minorHAnsi" w:hAnsiTheme="minorHAnsi" w:cstheme="minorHAnsi"/>
          <w:u w:val="none"/>
        </w:rPr>
        <w:t xml:space="preserve"> that provides you with additional understanding of your existing data protection environment.  This advanced service creates a gap analysis to help identify performance issues, inefficient processes, infrastructure limitations, and evaluates cost-effectiveness and unknown risks within your backup environment.  If you have experienced a recent outage, have low restore success rates or difficulty meeting your business Service Level Agreements (SLA), HPE can help expedite the troubleshooting process and quickly get </w:t>
      </w:r>
      <w:r w:rsidRPr="00D427AA">
        <w:rPr>
          <w:rFonts w:asciiTheme="minorHAnsi" w:hAnsiTheme="minorHAnsi" w:cstheme="minorHAnsi"/>
          <w:u w:val="none"/>
        </w:rPr>
        <w:lastRenderedPageBreak/>
        <w:t>you back on track.  Learn more about the Backup &amp; Recovery Impact Analysis Service from your local HPE Sales representative.</w:t>
      </w:r>
    </w:p>
    <w:sectPr w:rsidR="00D427AA" w:rsidRPr="00D427AA" w:rsidSect="008D1C06">
      <w:footerReference w:type="default" r:id="rId20"/>
      <w:headerReference w:type="first" r:id="rId21"/>
      <w:footerReference w:type="first" r:id="rId22"/>
      <w:pgSz w:w="12240" w:h="15840"/>
      <w:pgMar w:top="720" w:right="4392" w:bottom="1440" w:left="720" w:header="720"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1C53" w:rsidRDefault="00A31C53" w:rsidP="00227D9F">
      <w:r>
        <w:separator/>
      </w:r>
    </w:p>
  </w:endnote>
  <w:endnote w:type="continuationSeparator" w:id="0">
    <w:p w:rsidR="00A31C53" w:rsidRDefault="00A31C53" w:rsidP="00227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HP Simplified">
    <w:panose1 w:val="020B0604020204020204"/>
    <w:charset w:val="00"/>
    <w:family w:val="swiss"/>
    <w:pitch w:val="variable"/>
    <w:sig w:usb0="A00000AF" w:usb1="5000205B"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leftFromText="180" w:rightFromText="180" w:vertAnchor="text" w:tblpY="1"/>
      <w:tblOverlap w:val="never"/>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380"/>
      <w:gridCol w:w="3420"/>
    </w:tblGrid>
    <w:tr w:rsidR="004805B7" w:rsidRPr="004805B7" w:rsidTr="002C61D9">
      <w:trPr>
        <w:trHeight w:hRule="exact" w:val="360"/>
      </w:trPr>
      <w:tc>
        <w:tcPr>
          <w:tcW w:w="7380" w:type="dxa"/>
          <w:vAlign w:val="bottom"/>
        </w:tcPr>
        <w:p w:rsidR="004805B7" w:rsidRPr="004805B7" w:rsidRDefault="004805B7" w:rsidP="004805B7">
          <w:pPr>
            <w:pStyle w:val="Footer"/>
            <w:rPr>
              <w:sz w:val="14"/>
              <w:szCs w:val="14"/>
            </w:rPr>
          </w:pPr>
          <w:r w:rsidRPr="004805B7">
            <w:rPr>
              <w:sz w:val="14"/>
              <w:szCs w:val="14"/>
            </w:rPr>
            <w:t>4AA3-xxxxENW, Month 20XX</w:t>
          </w:r>
        </w:p>
      </w:tc>
      <w:tc>
        <w:tcPr>
          <w:tcW w:w="3420" w:type="dxa"/>
          <w:vAlign w:val="bottom"/>
        </w:tcPr>
        <w:p w:rsidR="004805B7" w:rsidRPr="004805B7" w:rsidRDefault="004805B7" w:rsidP="004805B7">
          <w:pPr>
            <w:pStyle w:val="Footer"/>
            <w:rPr>
              <w:sz w:val="14"/>
              <w:szCs w:val="14"/>
            </w:rPr>
          </w:pPr>
          <w:r w:rsidRPr="004805B7">
            <w:rPr>
              <w:sz w:val="14"/>
              <w:szCs w:val="14"/>
            </w:rPr>
            <w:t>Private, Confidential or Internal Use Only</w:t>
          </w:r>
        </w:p>
      </w:tc>
    </w:tr>
  </w:tbl>
  <w:p w:rsidR="00AD3EC8" w:rsidRPr="004805B7" w:rsidRDefault="00AD3EC8" w:rsidP="004805B7">
    <w:pPr>
      <w:pStyle w:val="hpe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leftFromText="180" w:rightFromText="180" w:vertAnchor="text" w:tblpY="1"/>
      <w:tblOverlap w:val="never"/>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380"/>
      <w:gridCol w:w="3420"/>
    </w:tblGrid>
    <w:tr w:rsidR="00C53203" w:rsidRPr="004805B7" w:rsidTr="002C61D9">
      <w:trPr>
        <w:trHeight w:hRule="exact" w:val="360"/>
      </w:trPr>
      <w:tc>
        <w:tcPr>
          <w:tcW w:w="7380" w:type="dxa"/>
          <w:vAlign w:val="bottom"/>
        </w:tcPr>
        <w:p w:rsidR="00C53203" w:rsidRPr="004805B7" w:rsidRDefault="00A05D78" w:rsidP="004805B7">
          <w:pPr>
            <w:pStyle w:val="Footer"/>
            <w:rPr>
              <w:sz w:val="14"/>
              <w:szCs w:val="14"/>
            </w:rPr>
          </w:pPr>
          <w:r>
            <w:rPr>
              <w:sz w:val="14"/>
              <w:szCs w:val="14"/>
            </w:rPr>
            <w:t>June 6, 2016</w:t>
          </w:r>
        </w:p>
      </w:tc>
      <w:tc>
        <w:tcPr>
          <w:tcW w:w="3420" w:type="dxa"/>
          <w:vAlign w:val="bottom"/>
        </w:tcPr>
        <w:p w:rsidR="00C53203" w:rsidRPr="004805B7" w:rsidRDefault="00B635FD" w:rsidP="00B635FD">
          <w:pPr>
            <w:pStyle w:val="Footer"/>
            <w:rPr>
              <w:sz w:val="14"/>
              <w:szCs w:val="14"/>
            </w:rPr>
          </w:pPr>
          <w:r>
            <w:rPr>
              <w:sz w:val="14"/>
              <w:szCs w:val="14"/>
            </w:rPr>
            <w:t xml:space="preserve">HPE and </w:t>
          </w:r>
          <w:proofErr w:type="spellStart"/>
          <w:r>
            <w:rPr>
              <w:sz w:val="14"/>
              <w:szCs w:val="14"/>
            </w:rPr>
            <w:t>CustomerY</w:t>
          </w:r>
          <w:proofErr w:type="spellEnd"/>
          <w:r w:rsidR="00A05D78">
            <w:rPr>
              <w:sz w:val="14"/>
              <w:szCs w:val="14"/>
            </w:rPr>
            <w:t xml:space="preserve"> Confidential</w:t>
          </w:r>
        </w:p>
      </w:tc>
    </w:tr>
  </w:tbl>
  <w:p w:rsidR="00C53203" w:rsidRPr="004805B7" w:rsidRDefault="00C53203" w:rsidP="004805B7">
    <w:pPr>
      <w:pStyle w:val="hpe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leftFromText="180" w:rightFromText="180" w:vertAnchor="text" w:tblpY="1"/>
      <w:tblOverlap w:val="never"/>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380"/>
      <w:gridCol w:w="3420"/>
    </w:tblGrid>
    <w:tr w:rsidR="00C53203" w:rsidTr="002C61D9">
      <w:trPr>
        <w:trHeight w:hRule="exact" w:val="360"/>
      </w:trPr>
      <w:tc>
        <w:tcPr>
          <w:tcW w:w="7380" w:type="dxa"/>
          <w:vAlign w:val="bottom"/>
        </w:tcPr>
        <w:p w:rsidR="00C53203" w:rsidRPr="00377CD5" w:rsidRDefault="00C53203" w:rsidP="00377CD5">
          <w:pPr>
            <w:pStyle w:val="hpefooter"/>
          </w:pPr>
          <w:r>
            <w:t>June 6, 2016</w:t>
          </w:r>
        </w:p>
      </w:tc>
      <w:tc>
        <w:tcPr>
          <w:tcW w:w="3420" w:type="dxa"/>
          <w:vAlign w:val="bottom"/>
        </w:tcPr>
        <w:p w:rsidR="00C53203" w:rsidRDefault="00B635FD" w:rsidP="00B635FD">
          <w:pPr>
            <w:pStyle w:val="hpefooter"/>
          </w:pPr>
          <w:r>
            <w:t xml:space="preserve">HPE and </w:t>
          </w:r>
          <w:proofErr w:type="spellStart"/>
          <w:r>
            <w:t>CustomerY</w:t>
          </w:r>
          <w:proofErr w:type="spellEnd"/>
          <w:r w:rsidR="00C53203">
            <w:t xml:space="preserve"> Confidential</w:t>
          </w:r>
        </w:p>
      </w:tc>
    </w:tr>
  </w:tbl>
  <w:p w:rsidR="00C53203" w:rsidRPr="00377CD5" w:rsidRDefault="00C53203" w:rsidP="004805B7">
    <w:pPr>
      <w:pStyle w:val="hpe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1C53" w:rsidRDefault="00A31C53" w:rsidP="00227D9F">
      <w:r>
        <w:separator/>
      </w:r>
    </w:p>
  </w:footnote>
  <w:footnote w:type="continuationSeparator" w:id="0">
    <w:p w:rsidR="00A31C53" w:rsidRDefault="00A31C53" w:rsidP="00227D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C3F" w:rsidRDefault="00E80C3F" w:rsidP="004805B7">
    <w:pPr>
      <w:pStyle w:val="hpeheader"/>
      <w:tabs>
        <w:tab w:val="left" w:pos="2025"/>
      </w:tabs>
    </w:pPr>
    <w:r>
      <w:rPr>
        <w:noProof/>
      </w:rPr>
      <mc:AlternateContent>
        <mc:Choice Requires="wps">
          <w:drawing>
            <wp:anchor distT="0" distB="0" distL="114300" distR="114300" simplePos="0" relativeHeight="251663360" behindDoc="0" locked="0" layoutInCell="1" allowOverlap="1" wp14:anchorId="3F4AF117" wp14:editId="390FC68A">
              <wp:simplePos x="0" y="0"/>
              <wp:positionH relativeFrom="margin">
                <wp:align>left</wp:align>
              </wp:positionH>
              <wp:positionV relativeFrom="page">
                <wp:posOffset>1865630</wp:posOffset>
              </wp:positionV>
              <wp:extent cx="68580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685800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1324E0A" id="Straight Connector 4" o:spid="_x0000_s1026" style="position:absolute;z-index:251663360;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146.9pt" to="540pt,14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" strokecolor="black [3213]" strokeweight=".25pt">
              <v:stroke joinstyle="miter"/>
              <w10:wrap anchorx="margin" anchory="page"/>
            </v:line>
          </w:pict>
        </mc:Fallback>
      </mc:AlternateContent>
    </w:r>
    <w:r>
      <w:rPr>
        <w:noProof/>
      </w:rPr>
      <w:drawing>
        <wp:anchor distT="0" distB="0" distL="114300" distR="114300" simplePos="0" relativeHeight="251661312" behindDoc="1" locked="0" layoutInCell="1" allowOverlap="1" wp14:anchorId="4FECDD42" wp14:editId="4CF10458">
          <wp:simplePos x="0" y="0"/>
          <wp:positionH relativeFrom="column">
            <wp:posOffset>0</wp:posOffset>
          </wp:positionH>
          <wp:positionV relativeFrom="paragraph">
            <wp:posOffset>0</wp:posOffset>
          </wp:positionV>
          <wp:extent cx="1755648" cy="7322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pe_pri_grn_pos_rgb.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55648" cy="732262"/>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F90" w:rsidRDefault="00696F90" w:rsidP="004805B7">
    <w:pPr>
      <w:pStyle w:val="hpeheader"/>
      <w:tabs>
        <w:tab w:val="left" w:pos="202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BE2F53"/>
    <w:multiLevelType w:val="multilevel"/>
    <w:tmpl w:val="6A28F452"/>
    <w:numStyleLink w:val="hpbullets"/>
  </w:abstractNum>
  <w:abstractNum w:abstractNumId="1" w15:restartNumberingAfterBreak="0">
    <w:nsid w:val="22A71BF6"/>
    <w:multiLevelType w:val="multilevel"/>
    <w:tmpl w:val="5830A2BA"/>
    <w:lvl w:ilvl="0">
      <w:numFmt w:val="bullet"/>
      <w:lvlText w:val="•"/>
      <w:lvlJc w:val="left"/>
      <w:pPr>
        <w:tabs>
          <w:tab w:val="num" w:pos="187"/>
        </w:tabs>
        <w:ind w:left="187" w:hanging="187"/>
      </w:pPr>
      <w:rPr>
        <w:rFonts w:ascii="Arial" w:hAnsi="Arial" w:hint="default"/>
      </w:rPr>
    </w:lvl>
    <w:lvl w:ilvl="1">
      <w:start w:val="1"/>
      <w:numFmt w:val="bullet"/>
      <w:lvlText w:val="–"/>
      <w:lvlJc w:val="left"/>
      <w:pPr>
        <w:tabs>
          <w:tab w:val="num" w:pos="367"/>
        </w:tabs>
        <w:ind w:left="367" w:hanging="187"/>
      </w:pPr>
      <w:rPr>
        <w:rFonts w:ascii="Arial" w:hAnsi="Arial" w:hint="default"/>
      </w:rPr>
    </w:lvl>
    <w:lvl w:ilvl="2">
      <w:start w:val="1"/>
      <w:numFmt w:val="bullet"/>
      <w:lvlText w:val="•"/>
      <w:lvlJc w:val="left"/>
      <w:pPr>
        <w:tabs>
          <w:tab w:val="num" w:pos="547"/>
        </w:tabs>
        <w:ind w:left="547" w:hanging="187"/>
      </w:pPr>
      <w:rPr>
        <w:rFonts w:ascii="Arial" w:hAnsi="Arial" w:hint="default"/>
      </w:rPr>
    </w:lvl>
    <w:lvl w:ilvl="3">
      <w:start w:val="1"/>
      <w:numFmt w:val="bullet"/>
      <w:lvlText w:val="–"/>
      <w:lvlJc w:val="left"/>
      <w:pPr>
        <w:tabs>
          <w:tab w:val="num" w:pos="727"/>
        </w:tabs>
        <w:ind w:left="727" w:hanging="187"/>
      </w:pPr>
      <w:rPr>
        <w:rFonts w:ascii="Arial" w:hAnsi="Arial" w:hint="default"/>
      </w:rPr>
    </w:lvl>
    <w:lvl w:ilvl="4">
      <w:start w:val="1"/>
      <w:numFmt w:val="bullet"/>
      <w:lvlText w:val="•"/>
      <w:lvlJc w:val="left"/>
      <w:pPr>
        <w:tabs>
          <w:tab w:val="num" w:pos="907"/>
        </w:tabs>
        <w:ind w:left="907" w:hanging="187"/>
      </w:pPr>
      <w:rPr>
        <w:rFonts w:ascii="Arial" w:hAnsi="Arial" w:hint="default"/>
      </w:rPr>
    </w:lvl>
    <w:lvl w:ilvl="5">
      <w:start w:val="1"/>
      <w:numFmt w:val="bullet"/>
      <w:lvlText w:val="–"/>
      <w:lvlJc w:val="left"/>
      <w:pPr>
        <w:tabs>
          <w:tab w:val="num" w:pos="1087"/>
        </w:tabs>
        <w:ind w:left="1087" w:hanging="187"/>
      </w:pPr>
      <w:rPr>
        <w:rFonts w:ascii="Arial" w:hAnsi="Arial" w:hint="default"/>
      </w:rPr>
    </w:lvl>
    <w:lvl w:ilvl="6">
      <w:start w:val="1"/>
      <w:numFmt w:val="bullet"/>
      <w:lvlText w:val="•"/>
      <w:lvlJc w:val="left"/>
      <w:pPr>
        <w:tabs>
          <w:tab w:val="num" w:pos="1267"/>
        </w:tabs>
        <w:ind w:left="1267" w:hanging="187"/>
      </w:pPr>
      <w:rPr>
        <w:rFonts w:ascii="Arial" w:hAnsi="Arial" w:hint="default"/>
      </w:rPr>
    </w:lvl>
    <w:lvl w:ilvl="7">
      <w:start w:val="1"/>
      <w:numFmt w:val="bullet"/>
      <w:lvlText w:val="–"/>
      <w:lvlJc w:val="left"/>
      <w:pPr>
        <w:tabs>
          <w:tab w:val="num" w:pos="1447"/>
        </w:tabs>
        <w:ind w:left="1447" w:hanging="187"/>
      </w:pPr>
      <w:rPr>
        <w:rFonts w:ascii="Arial" w:hAnsi="Arial" w:hint="default"/>
      </w:rPr>
    </w:lvl>
    <w:lvl w:ilvl="8">
      <w:start w:val="1"/>
      <w:numFmt w:val="bullet"/>
      <w:lvlText w:val="•"/>
      <w:lvlJc w:val="left"/>
      <w:pPr>
        <w:tabs>
          <w:tab w:val="num" w:pos="1627"/>
        </w:tabs>
        <w:ind w:left="1627" w:hanging="187"/>
      </w:pPr>
      <w:rPr>
        <w:rFonts w:ascii="Arial" w:hAnsi="Arial" w:hint="default"/>
      </w:rPr>
    </w:lvl>
  </w:abstractNum>
  <w:abstractNum w:abstractNumId="2" w15:restartNumberingAfterBreak="0">
    <w:nsid w:val="353C085B"/>
    <w:multiLevelType w:val="multilevel"/>
    <w:tmpl w:val="6A28F452"/>
    <w:styleLink w:val="hpbullets"/>
    <w:lvl w:ilvl="0">
      <w:start w:val="1"/>
      <w:numFmt w:val="bullet"/>
      <w:pStyle w:val="hpebulletslist"/>
      <w:lvlText w:val=""/>
      <w:lvlJc w:val="left"/>
      <w:pPr>
        <w:ind w:left="216" w:hanging="216"/>
      </w:pPr>
      <w:rPr>
        <w:rFonts w:ascii="Symbol" w:hAnsi="Symbol" w:hint="default"/>
        <w:sz w:val="14"/>
      </w:rPr>
    </w:lvl>
    <w:lvl w:ilvl="1">
      <w:start w:val="1"/>
      <w:numFmt w:val="bullet"/>
      <w:lvlText w:val="–"/>
      <w:lvlJc w:val="left"/>
      <w:pPr>
        <w:ind w:left="432" w:hanging="216"/>
      </w:pPr>
      <w:rPr>
        <w:rFonts w:ascii="Arial" w:hAnsi="Arial" w:hint="default"/>
      </w:rPr>
    </w:lvl>
    <w:lvl w:ilvl="2">
      <w:start w:val="1"/>
      <w:numFmt w:val="bullet"/>
      <w:lvlText w:val=""/>
      <w:lvlJc w:val="left"/>
      <w:pPr>
        <w:ind w:left="648" w:hanging="216"/>
      </w:pPr>
      <w:rPr>
        <w:rFonts w:ascii="Symbol" w:hAnsi="Symbol" w:hint="default"/>
        <w:sz w:val="14"/>
      </w:rPr>
    </w:lvl>
    <w:lvl w:ilvl="3">
      <w:start w:val="1"/>
      <w:numFmt w:val="bullet"/>
      <w:lvlText w:val="–"/>
      <w:lvlJc w:val="left"/>
      <w:pPr>
        <w:ind w:left="864" w:hanging="216"/>
      </w:pPr>
      <w:rPr>
        <w:rFonts w:ascii="Arial" w:hAnsi="Arial" w:hint="default"/>
      </w:rPr>
    </w:lvl>
    <w:lvl w:ilvl="4">
      <w:start w:val="1"/>
      <w:numFmt w:val="none"/>
      <w:lvlText w:val=""/>
      <w:lvlJc w:val="left"/>
      <w:pPr>
        <w:ind w:left="1080" w:hanging="216"/>
      </w:pPr>
      <w:rPr>
        <w:rFonts w:hint="default"/>
      </w:rPr>
    </w:lvl>
    <w:lvl w:ilvl="5">
      <w:start w:val="1"/>
      <w:numFmt w:val="none"/>
      <w:lvlText w:val=""/>
      <w:lvlJc w:val="left"/>
      <w:pPr>
        <w:ind w:left="1296" w:hanging="216"/>
      </w:pPr>
      <w:rPr>
        <w:rFonts w:hint="default"/>
      </w:rPr>
    </w:lvl>
    <w:lvl w:ilvl="6">
      <w:start w:val="1"/>
      <w:numFmt w:val="none"/>
      <w:lvlText w:val="%7"/>
      <w:lvlJc w:val="left"/>
      <w:pPr>
        <w:ind w:left="1512" w:hanging="216"/>
      </w:pPr>
      <w:rPr>
        <w:rFonts w:hint="default"/>
      </w:rPr>
    </w:lvl>
    <w:lvl w:ilvl="7">
      <w:start w:val="1"/>
      <w:numFmt w:val="none"/>
      <w:lvlText w:val="%8"/>
      <w:lvlJc w:val="left"/>
      <w:pPr>
        <w:ind w:left="1728" w:hanging="216"/>
      </w:pPr>
      <w:rPr>
        <w:rFonts w:hint="default"/>
      </w:rPr>
    </w:lvl>
    <w:lvl w:ilvl="8">
      <w:start w:val="1"/>
      <w:numFmt w:val="none"/>
      <w:lvlText w:val="%9"/>
      <w:lvlJc w:val="left"/>
      <w:pPr>
        <w:ind w:left="1944" w:hanging="216"/>
      </w:pPr>
      <w:rPr>
        <w:rFonts w:hint="default"/>
      </w:rPr>
    </w:lvl>
  </w:abstractNum>
  <w:abstractNum w:abstractNumId="3" w15:restartNumberingAfterBreak="0">
    <w:nsid w:val="492254B9"/>
    <w:multiLevelType w:val="hybridMultilevel"/>
    <w:tmpl w:val="DCB0EC5A"/>
    <w:lvl w:ilvl="0" w:tplc="EDF0C6B0">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1044A7"/>
    <w:multiLevelType w:val="multilevel"/>
    <w:tmpl w:val="0409001D"/>
    <w:styleLink w:val="bodybullet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5FD66BDF"/>
    <w:multiLevelType w:val="hybridMultilevel"/>
    <w:tmpl w:val="451482E4"/>
    <w:lvl w:ilvl="0" w:tplc="20989695">
      <w:start w:val="1"/>
      <w:numFmt w:val="decimal"/>
      <w:lvlText w:val="%1."/>
      <w:lvlJc w:val="left"/>
      <w:pPr>
        <w:ind w:left="720" w:hanging="360"/>
      </w:pPr>
    </w:lvl>
    <w:lvl w:ilvl="1" w:tplc="20989695" w:tentative="1">
      <w:start w:val="1"/>
      <w:numFmt w:val="lowerLetter"/>
      <w:lvlText w:val="%2."/>
      <w:lvlJc w:val="left"/>
      <w:pPr>
        <w:ind w:left="1440" w:hanging="360"/>
      </w:pPr>
    </w:lvl>
    <w:lvl w:ilvl="2" w:tplc="20989695" w:tentative="1">
      <w:start w:val="1"/>
      <w:numFmt w:val="lowerRoman"/>
      <w:lvlText w:val="%3."/>
      <w:lvlJc w:val="right"/>
      <w:pPr>
        <w:ind w:left="2160" w:hanging="180"/>
      </w:pPr>
    </w:lvl>
    <w:lvl w:ilvl="3" w:tplc="20989695" w:tentative="1">
      <w:start w:val="1"/>
      <w:numFmt w:val="decimal"/>
      <w:lvlText w:val="%4."/>
      <w:lvlJc w:val="left"/>
      <w:pPr>
        <w:ind w:left="2880" w:hanging="360"/>
      </w:pPr>
    </w:lvl>
    <w:lvl w:ilvl="4" w:tplc="20989695" w:tentative="1">
      <w:start w:val="1"/>
      <w:numFmt w:val="lowerLetter"/>
      <w:lvlText w:val="%5."/>
      <w:lvlJc w:val="left"/>
      <w:pPr>
        <w:ind w:left="3600" w:hanging="360"/>
      </w:pPr>
    </w:lvl>
    <w:lvl w:ilvl="5" w:tplc="20989695" w:tentative="1">
      <w:start w:val="1"/>
      <w:numFmt w:val="lowerRoman"/>
      <w:lvlText w:val="%6."/>
      <w:lvlJc w:val="right"/>
      <w:pPr>
        <w:ind w:left="4320" w:hanging="180"/>
      </w:pPr>
    </w:lvl>
    <w:lvl w:ilvl="6" w:tplc="20989695" w:tentative="1">
      <w:start w:val="1"/>
      <w:numFmt w:val="decimal"/>
      <w:lvlText w:val="%7."/>
      <w:lvlJc w:val="left"/>
      <w:pPr>
        <w:ind w:left="5040" w:hanging="360"/>
      </w:pPr>
    </w:lvl>
    <w:lvl w:ilvl="7" w:tplc="20989695" w:tentative="1">
      <w:start w:val="1"/>
      <w:numFmt w:val="lowerLetter"/>
      <w:lvlText w:val="%8."/>
      <w:lvlJc w:val="left"/>
      <w:pPr>
        <w:ind w:left="5760" w:hanging="360"/>
      </w:pPr>
    </w:lvl>
    <w:lvl w:ilvl="8" w:tplc="20989695" w:tentative="1">
      <w:start w:val="1"/>
      <w:numFmt w:val="lowerRoman"/>
      <w:lvlText w:val="%9."/>
      <w:lvlJc w:val="right"/>
      <w:pPr>
        <w:ind w:left="6480" w:hanging="180"/>
      </w:pPr>
    </w:lvl>
  </w:abstractNum>
  <w:abstractNum w:abstractNumId="6" w15:restartNumberingAfterBreak="0">
    <w:nsid w:val="70A527DF"/>
    <w:multiLevelType w:val="multilevel"/>
    <w:tmpl w:val="03DE94E0"/>
    <w:lvl w:ilvl="0">
      <w:start w:val="1"/>
      <w:numFmt w:val="bullet"/>
      <w:pStyle w:val="hpebulletlist"/>
      <w:lvlText w:val="•"/>
      <w:lvlJc w:val="left"/>
      <w:pPr>
        <w:ind w:left="187" w:hanging="187"/>
      </w:pPr>
      <w:rPr>
        <w:rFonts w:ascii="Arial" w:hAnsi="Arial" w:hint="default"/>
      </w:rPr>
    </w:lvl>
    <w:lvl w:ilvl="1">
      <w:start w:val="1"/>
      <w:numFmt w:val="bullet"/>
      <w:lvlText w:val="–"/>
      <w:lvlJc w:val="left"/>
      <w:pPr>
        <w:ind w:left="374" w:hanging="187"/>
      </w:pPr>
      <w:rPr>
        <w:rFonts w:ascii="Arial" w:hAnsi="Arial" w:hint="default"/>
      </w:rPr>
    </w:lvl>
    <w:lvl w:ilvl="2">
      <w:start w:val="1"/>
      <w:numFmt w:val="bullet"/>
      <w:lvlText w:val="•"/>
      <w:lvlJc w:val="left"/>
      <w:pPr>
        <w:ind w:left="561" w:hanging="187"/>
      </w:pPr>
      <w:rPr>
        <w:rFonts w:ascii="Arial" w:hAnsi="Arial" w:hint="default"/>
      </w:rPr>
    </w:lvl>
    <w:lvl w:ilvl="3">
      <w:start w:val="1"/>
      <w:numFmt w:val="bullet"/>
      <w:lvlText w:val="–"/>
      <w:lvlJc w:val="left"/>
      <w:pPr>
        <w:ind w:left="748" w:hanging="187"/>
      </w:pPr>
      <w:rPr>
        <w:rFonts w:ascii="Arial" w:hAnsi="Arial" w:hint="default"/>
      </w:rPr>
    </w:lvl>
    <w:lvl w:ilvl="4">
      <w:start w:val="1"/>
      <w:numFmt w:val="bullet"/>
      <w:lvlText w:val="•"/>
      <w:lvlJc w:val="left"/>
      <w:pPr>
        <w:ind w:left="935" w:hanging="187"/>
      </w:pPr>
      <w:rPr>
        <w:rFonts w:ascii="Arial" w:hAnsi="Arial" w:hint="default"/>
      </w:rPr>
    </w:lvl>
    <w:lvl w:ilvl="5">
      <w:start w:val="1"/>
      <w:numFmt w:val="bullet"/>
      <w:lvlText w:val="–"/>
      <w:lvlJc w:val="left"/>
      <w:pPr>
        <w:ind w:left="1122" w:hanging="187"/>
      </w:pPr>
      <w:rPr>
        <w:rFonts w:ascii="Arial" w:hAnsi="Arial" w:hint="default"/>
      </w:rPr>
    </w:lvl>
    <w:lvl w:ilvl="6">
      <w:start w:val="1"/>
      <w:numFmt w:val="bullet"/>
      <w:lvlText w:val="•"/>
      <w:lvlJc w:val="left"/>
      <w:pPr>
        <w:ind w:left="1309" w:hanging="187"/>
      </w:pPr>
      <w:rPr>
        <w:rFonts w:ascii="Arial" w:hAnsi="Arial" w:hint="default"/>
      </w:rPr>
    </w:lvl>
    <w:lvl w:ilvl="7">
      <w:start w:val="1"/>
      <w:numFmt w:val="bullet"/>
      <w:lvlText w:val="–"/>
      <w:lvlJc w:val="left"/>
      <w:pPr>
        <w:ind w:left="1496" w:hanging="187"/>
      </w:pPr>
      <w:rPr>
        <w:rFonts w:ascii="Arial" w:hAnsi="Arial" w:hint="default"/>
      </w:rPr>
    </w:lvl>
    <w:lvl w:ilvl="8">
      <w:start w:val="1"/>
      <w:numFmt w:val="bullet"/>
      <w:lvlText w:val="•"/>
      <w:lvlJc w:val="left"/>
      <w:pPr>
        <w:tabs>
          <w:tab w:val="num" w:pos="1627"/>
        </w:tabs>
        <w:ind w:left="1683" w:hanging="187"/>
      </w:pPr>
      <w:rPr>
        <w:rFonts w:ascii="Arial" w:hAnsi="Arial" w:hint="default"/>
      </w:rPr>
    </w:lvl>
  </w:abstractNum>
  <w:abstractNum w:abstractNumId="7" w15:restartNumberingAfterBreak="0">
    <w:nsid w:val="71994596"/>
    <w:multiLevelType w:val="multilevel"/>
    <w:tmpl w:val="0409001D"/>
    <w:numStyleLink w:val="bodybullets"/>
  </w:abstractNum>
  <w:abstractNum w:abstractNumId="8" w15:restartNumberingAfterBreak="0">
    <w:nsid w:val="743A1AF1"/>
    <w:multiLevelType w:val="hybridMultilevel"/>
    <w:tmpl w:val="ADAAFCE2"/>
    <w:lvl w:ilvl="0" w:tplc="880445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3"/>
  </w:num>
  <w:num w:numId="4">
    <w:abstractNumId w:val="1"/>
  </w:num>
  <w:num w:numId="5">
    <w:abstractNumId w:val="1"/>
    <w:lvlOverride w:ilvl="0">
      <w:lvl w:ilvl="0">
        <w:numFmt w:val="bullet"/>
        <w:lvlText w:val="•"/>
        <w:lvlJc w:val="left"/>
        <w:pPr>
          <w:ind w:left="187" w:hanging="187"/>
        </w:pPr>
        <w:rPr>
          <w:rFonts w:ascii="Arial" w:hAnsi="Arial" w:hint="default"/>
        </w:rPr>
      </w:lvl>
    </w:lvlOverride>
    <w:lvlOverride w:ilvl="1">
      <w:lvl w:ilvl="1">
        <w:start w:val="1"/>
        <w:numFmt w:val="bullet"/>
        <w:lvlText w:val="–"/>
        <w:lvlJc w:val="left"/>
        <w:pPr>
          <w:ind w:left="547" w:hanging="187"/>
        </w:pPr>
        <w:rPr>
          <w:rFonts w:ascii="Arial" w:hAnsi="Arial" w:hint="default"/>
        </w:rPr>
      </w:lvl>
    </w:lvlOverride>
    <w:lvlOverride w:ilvl="2">
      <w:lvl w:ilvl="2">
        <w:start w:val="1"/>
        <w:numFmt w:val="bullet"/>
        <w:lvlText w:val="•"/>
        <w:lvlJc w:val="left"/>
        <w:pPr>
          <w:ind w:left="907" w:hanging="187"/>
        </w:pPr>
        <w:rPr>
          <w:rFonts w:ascii="Arial" w:hAnsi="Arial" w:hint="default"/>
        </w:rPr>
      </w:lvl>
    </w:lvlOverride>
    <w:lvlOverride w:ilvl="3">
      <w:lvl w:ilvl="3">
        <w:start w:val="1"/>
        <w:numFmt w:val="bullet"/>
        <w:lvlText w:val="–"/>
        <w:lvlJc w:val="left"/>
        <w:pPr>
          <w:ind w:left="1267" w:hanging="187"/>
        </w:pPr>
        <w:rPr>
          <w:rFonts w:ascii="Arial" w:hAnsi="Arial" w:hint="default"/>
        </w:rPr>
      </w:lvl>
    </w:lvlOverride>
    <w:lvlOverride w:ilvl="4">
      <w:lvl w:ilvl="4">
        <w:start w:val="1"/>
        <w:numFmt w:val="bullet"/>
        <w:lvlText w:val="•"/>
        <w:lvlJc w:val="left"/>
        <w:pPr>
          <w:ind w:left="1627" w:hanging="187"/>
        </w:pPr>
        <w:rPr>
          <w:rFonts w:ascii="Arial" w:hAnsi="Arial" w:hint="default"/>
        </w:rPr>
      </w:lvl>
    </w:lvlOverride>
    <w:lvlOverride w:ilvl="5">
      <w:lvl w:ilvl="5">
        <w:start w:val="1"/>
        <w:numFmt w:val="bullet"/>
        <w:lvlText w:val="–"/>
        <w:lvlJc w:val="left"/>
        <w:pPr>
          <w:ind w:left="1987" w:hanging="187"/>
        </w:pPr>
        <w:rPr>
          <w:rFonts w:ascii="Arial" w:hAnsi="Arial" w:hint="default"/>
        </w:rPr>
      </w:lvl>
    </w:lvlOverride>
    <w:lvlOverride w:ilvl="6">
      <w:lvl w:ilvl="6">
        <w:start w:val="1"/>
        <w:numFmt w:val="bullet"/>
        <w:lvlText w:val="•"/>
        <w:lvlJc w:val="left"/>
        <w:pPr>
          <w:ind w:left="2347" w:hanging="187"/>
        </w:pPr>
        <w:rPr>
          <w:rFonts w:ascii="Arial" w:hAnsi="Arial" w:hint="default"/>
        </w:rPr>
      </w:lvl>
    </w:lvlOverride>
    <w:lvlOverride w:ilvl="7">
      <w:lvl w:ilvl="7">
        <w:start w:val="1"/>
        <w:numFmt w:val="bullet"/>
        <w:lvlText w:val="–"/>
        <w:lvlJc w:val="left"/>
        <w:pPr>
          <w:ind w:left="2707" w:hanging="187"/>
        </w:pPr>
        <w:rPr>
          <w:rFonts w:ascii="Arial" w:hAnsi="Arial" w:hint="default"/>
        </w:rPr>
      </w:lvl>
    </w:lvlOverride>
    <w:lvlOverride w:ilvl="8">
      <w:lvl w:ilvl="8">
        <w:start w:val="1"/>
        <w:numFmt w:val="bullet"/>
        <w:lvlText w:val="•"/>
        <w:lvlJc w:val="left"/>
        <w:pPr>
          <w:ind w:left="3067" w:hanging="187"/>
        </w:pPr>
        <w:rPr>
          <w:rFonts w:ascii="Arial" w:hAnsi="Arial" w:hint="default"/>
        </w:rPr>
      </w:lvl>
    </w:lvlOverride>
  </w:num>
  <w:num w:numId="6">
    <w:abstractNumId w:val="1"/>
    <w:lvlOverride w:ilvl="0">
      <w:lvl w:ilvl="0">
        <w:numFmt w:val="bullet"/>
        <w:lvlText w:val="•"/>
        <w:lvlJc w:val="left"/>
        <w:pPr>
          <w:ind w:left="187" w:hanging="187"/>
        </w:pPr>
        <w:rPr>
          <w:rFonts w:ascii="Arial" w:hAnsi="Arial" w:hint="default"/>
        </w:rPr>
      </w:lvl>
    </w:lvlOverride>
    <w:lvlOverride w:ilvl="1">
      <w:lvl w:ilvl="1">
        <w:start w:val="1"/>
        <w:numFmt w:val="bullet"/>
        <w:lvlText w:val="–"/>
        <w:lvlJc w:val="left"/>
        <w:pPr>
          <w:ind w:left="367" w:hanging="187"/>
        </w:pPr>
        <w:rPr>
          <w:rFonts w:ascii="Arial" w:hAnsi="Arial" w:hint="default"/>
        </w:rPr>
      </w:lvl>
    </w:lvlOverride>
    <w:lvlOverride w:ilvl="2">
      <w:lvl w:ilvl="2">
        <w:start w:val="1"/>
        <w:numFmt w:val="bullet"/>
        <w:lvlText w:val="•"/>
        <w:lvlJc w:val="left"/>
        <w:pPr>
          <w:ind w:left="547" w:hanging="187"/>
        </w:pPr>
        <w:rPr>
          <w:rFonts w:ascii="Arial" w:hAnsi="Arial" w:hint="default"/>
        </w:rPr>
      </w:lvl>
    </w:lvlOverride>
    <w:lvlOverride w:ilvl="3">
      <w:lvl w:ilvl="3">
        <w:start w:val="1"/>
        <w:numFmt w:val="bullet"/>
        <w:lvlText w:val="–"/>
        <w:lvlJc w:val="left"/>
        <w:pPr>
          <w:ind w:left="727" w:hanging="187"/>
        </w:pPr>
        <w:rPr>
          <w:rFonts w:ascii="Arial" w:hAnsi="Arial" w:hint="default"/>
        </w:rPr>
      </w:lvl>
    </w:lvlOverride>
    <w:lvlOverride w:ilvl="4">
      <w:lvl w:ilvl="4">
        <w:start w:val="1"/>
        <w:numFmt w:val="bullet"/>
        <w:lvlText w:val="•"/>
        <w:lvlJc w:val="left"/>
        <w:pPr>
          <w:ind w:left="907" w:hanging="187"/>
        </w:pPr>
        <w:rPr>
          <w:rFonts w:ascii="Arial" w:hAnsi="Arial" w:hint="default"/>
        </w:rPr>
      </w:lvl>
    </w:lvlOverride>
    <w:lvlOverride w:ilvl="5">
      <w:lvl w:ilvl="5">
        <w:start w:val="1"/>
        <w:numFmt w:val="bullet"/>
        <w:lvlText w:val="–"/>
        <w:lvlJc w:val="left"/>
        <w:pPr>
          <w:ind w:left="1087" w:hanging="187"/>
        </w:pPr>
        <w:rPr>
          <w:rFonts w:ascii="Arial" w:hAnsi="Arial" w:hint="default"/>
        </w:rPr>
      </w:lvl>
    </w:lvlOverride>
    <w:lvlOverride w:ilvl="6">
      <w:lvl w:ilvl="6">
        <w:start w:val="1"/>
        <w:numFmt w:val="bullet"/>
        <w:lvlText w:val="•"/>
        <w:lvlJc w:val="left"/>
        <w:pPr>
          <w:ind w:left="1267" w:hanging="187"/>
        </w:pPr>
        <w:rPr>
          <w:rFonts w:ascii="Arial" w:hAnsi="Arial" w:hint="default"/>
        </w:rPr>
      </w:lvl>
    </w:lvlOverride>
    <w:lvlOverride w:ilvl="7">
      <w:lvl w:ilvl="7">
        <w:start w:val="1"/>
        <w:numFmt w:val="bullet"/>
        <w:lvlText w:val="–"/>
        <w:lvlJc w:val="left"/>
        <w:pPr>
          <w:ind w:left="1447" w:hanging="187"/>
        </w:pPr>
        <w:rPr>
          <w:rFonts w:ascii="Arial" w:hAnsi="Arial" w:hint="default"/>
        </w:rPr>
      </w:lvl>
    </w:lvlOverride>
    <w:lvlOverride w:ilvl="8">
      <w:lvl w:ilvl="8">
        <w:start w:val="1"/>
        <w:numFmt w:val="bullet"/>
        <w:lvlText w:val="•"/>
        <w:lvlJc w:val="left"/>
        <w:pPr>
          <w:ind w:left="1627" w:hanging="187"/>
        </w:pPr>
        <w:rPr>
          <w:rFonts w:ascii="Arial" w:hAnsi="Arial" w:hint="default"/>
        </w:rPr>
      </w:lvl>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
  </w:num>
  <w:num w:numId="10">
    <w:abstractNumId w:val="0"/>
  </w:num>
  <w:num w:numId="11">
    <w:abstractNumId w:val="8"/>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1C3"/>
    <w:rsid w:val="0000575E"/>
    <w:rsid w:val="000105C5"/>
    <w:rsid w:val="00077BB4"/>
    <w:rsid w:val="000C1296"/>
    <w:rsid w:val="000D20E1"/>
    <w:rsid w:val="000E10D4"/>
    <w:rsid w:val="000F5D2F"/>
    <w:rsid w:val="00102A38"/>
    <w:rsid w:val="00141189"/>
    <w:rsid w:val="0018062E"/>
    <w:rsid w:val="00190EDF"/>
    <w:rsid w:val="00227D9F"/>
    <w:rsid w:val="00344EA8"/>
    <w:rsid w:val="00360E3F"/>
    <w:rsid w:val="0036353B"/>
    <w:rsid w:val="00364A6E"/>
    <w:rsid w:val="00377CD5"/>
    <w:rsid w:val="00382F68"/>
    <w:rsid w:val="004471AE"/>
    <w:rsid w:val="004719A9"/>
    <w:rsid w:val="004805B7"/>
    <w:rsid w:val="00492F6A"/>
    <w:rsid w:val="004B40F4"/>
    <w:rsid w:val="004D5393"/>
    <w:rsid w:val="004E31C3"/>
    <w:rsid w:val="00521CF5"/>
    <w:rsid w:val="00523A51"/>
    <w:rsid w:val="00537836"/>
    <w:rsid w:val="00547D36"/>
    <w:rsid w:val="00603F44"/>
    <w:rsid w:val="00604571"/>
    <w:rsid w:val="00656006"/>
    <w:rsid w:val="00696F90"/>
    <w:rsid w:val="006A1753"/>
    <w:rsid w:val="006A4EA4"/>
    <w:rsid w:val="006E26A0"/>
    <w:rsid w:val="006F4E72"/>
    <w:rsid w:val="00700F85"/>
    <w:rsid w:val="00720047"/>
    <w:rsid w:val="007458AC"/>
    <w:rsid w:val="00746B1F"/>
    <w:rsid w:val="00780B65"/>
    <w:rsid w:val="007B0CAF"/>
    <w:rsid w:val="008039F1"/>
    <w:rsid w:val="0083657B"/>
    <w:rsid w:val="00860CA8"/>
    <w:rsid w:val="008813B8"/>
    <w:rsid w:val="00887434"/>
    <w:rsid w:val="008D1C06"/>
    <w:rsid w:val="008E0515"/>
    <w:rsid w:val="008E5F5F"/>
    <w:rsid w:val="009053E8"/>
    <w:rsid w:val="00907748"/>
    <w:rsid w:val="0096239F"/>
    <w:rsid w:val="0097281F"/>
    <w:rsid w:val="00974230"/>
    <w:rsid w:val="00996488"/>
    <w:rsid w:val="009A36C9"/>
    <w:rsid w:val="009D495C"/>
    <w:rsid w:val="009D6510"/>
    <w:rsid w:val="009F1261"/>
    <w:rsid w:val="00A05D78"/>
    <w:rsid w:val="00A26FBF"/>
    <w:rsid w:val="00A306D7"/>
    <w:rsid w:val="00A31C53"/>
    <w:rsid w:val="00A867DA"/>
    <w:rsid w:val="00AD3EC8"/>
    <w:rsid w:val="00AF335C"/>
    <w:rsid w:val="00B05925"/>
    <w:rsid w:val="00B635FD"/>
    <w:rsid w:val="00B706B4"/>
    <w:rsid w:val="00B724E3"/>
    <w:rsid w:val="00B7709C"/>
    <w:rsid w:val="00BC0DE1"/>
    <w:rsid w:val="00BD034E"/>
    <w:rsid w:val="00BD1D6D"/>
    <w:rsid w:val="00BD2BF4"/>
    <w:rsid w:val="00BE7F56"/>
    <w:rsid w:val="00C0327F"/>
    <w:rsid w:val="00C330B6"/>
    <w:rsid w:val="00C46EF8"/>
    <w:rsid w:val="00C53203"/>
    <w:rsid w:val="00C606AD"/>
    <w:rsid w:val="00C76B6C"/>
    <w:rsid w:val="00C951C6"/>
    <w:rsid w:val="00CA730C"/>
    <w:rsid w:val="00CB3161"/>
    <w:rsid w:val="00D04A78"/>
    <w:rsid w:val="00D427AA"/>
    <w:rsid w:val="00D446C0"/>
    <w:rsid w:val="00D770C9"/>
    <w:rsid w:val="00D86640"/>
    <w:rsid w:val="00DC4EFD"/>
    <w:rsid w:val="00DC63B4"/>
    <w:rsid w:val="00E06E54"/>
    <w:rsid w:val="00E129CF"/>
    <w:rsid w:val="00E23363"/>
    <w:rsid w:val="00E33C1F"/>
    <w:rsid w:val="00E64027"/>
    <w:rsid w:val="00E80C3F"/>
    <w:rsid w:val="00EB7EB9"/>
    <w:rsid w:val="00F340AD"/>
    <w:rsid w:val="00F6736C"/>
    <w:rsid w:val="00F70B79"/>
    <w:rsid w:val="00F864EA"/>
    <w:rsid w:val="00F92D15"/>
    <w:rsid w:val="00F96369"/>
    <w:rsid w:val="00FB55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theme="minorBidi"/>
        <w:sz w:val="18"/>
        <w:szCs w:val="1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709C"/>
    <w:pPr>
      <w:suppressAutoHyphens/>
      <w:spacing w:after="216" w:line="240" w:lineRule="auto"/>
    </w:pPr>
    <w:rPr>
      <w:rFonts w:ascii="Arial" w:hAnsi="Arial"/>
      <w:color w:val="000000" w:themeColor="text1"/>
      <w:szCs w:val="22"/>
    </w:rPr>
  </w:style>
  <w:style w:type="paragraph" w:styleId="Heading1">
    <w:name w:val="heading 1"/>
    <w:basedOn w:val="Normal"/>
    <w:next w:val="Normal"/>
    <w:link w:val="Heading1Char"/>
    <w:uiPriority w:val="9"/>
    <w:qFormat/>
    <w:rsid w:val="00E80C3F"/>
    <w:pPr>
      <w:keepNext/>
      <w:keepLines/>
      <w:spacing w:before="240"/>
      <w:outlineLvl w:val="0"/>
    </w:pPr>
    <w:rPr>
      <w:rFonts w:eastAsiaTheme="majorEastAsia" w:cstheme="majorBidi"/>
      <w:color w:val="485A69"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805B7"/>
    <w:pPr>
      <w:tabs>
        <w:tab w:val="center" w:pos="4680"/>
        <w:tab w:val="right" w:pos="9360"/>
      </w:tabs>
    </w:pPr>
  </w:style>
  <w:style w:type="character" w:customStyle="1" w:styleId="FooterChar">
    <w:name w:val="Footer Char"/>
    <w:basedOn w:val="DefaultParagraphFont"/>
    <w:link w:val="Footer"/>
    <w:uiPriority w:val="99"/>
    <w:rsid w:val="004805B7"/>
    <w:rPr>
      <w:rFonts w:asciiTheme="minorHAnsi" w:hAnsiTheme="minorHAnsi"/>
    </w:rPr>
  </w:style>
  <w:style w:type="character" w:customStyle="1" w:styleId="Heading1Char">
    <w:name w:val="Heading 1 Char"/>
    <w:basedOn w:val="DefaultParagraphFont"/>
    <w:link w:val="Heading1"/>
    <w:uiPriority w:val="9"/>
    <w:rsid w:val="00E80C3F"/>
    <w:rPr>
      <w:rFonts w:eastAsiaTheme="majorEastAsia" w:cstheme="majorBidi"/>
      <w:color w:val="485A69" w:themeColor="accent1" w:themeShade="BF"/>
      <w:sz w:val="32"/>
      <w:szCs w:val="32"/>
    </w:rPr>
  </w:style>
  <w:style w:type="table" w:styleId="TableGrid">
    <w:name w:val="Table Grid"/>
    <w:basedOn w:val="TableNormal"/>
    <w:uiPriority w:val="39"/>
    <w:rsid w:val="00AD3E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pedocumenttitle">
    <w:name w:val="hpe document title"/>
    <w:basedOn w:val="hpebodycopyARIAL"/>
    <w:next w:val="hpeheadline1"/>
    <w:qFormat/>
    <w:rsid w:val="00AF335C"/>
    <w:pPr>
      <w:spacing w:line="240" w:lineRule="exact"/>
    </w:pPr>
    <w:rPr>
      <w:sz w:val="20"/>
    </w:rPr>
  </w:style>
  <w:style w:type="paragraph" w:customStyle="1" w:styleId="hpeheadline1">
    <w:name w:val="hpe headline 1"/>
    <w:basedOn w:val="hpebodycopyARIAL"/>
    <w:qFormat/>
    <w:rsid w:val="0097281F"/>
    <w:pPr>
      <w:spacing w:line="480" w:lineRule="exact"/>
    </w:pPr>
    <w:rPr>
      <w:rFonts w:ascii="Arial Bold" w:hAnsi="Arial Bold"/>
      <w:bCs/>
      <w:sz w:val="44"/>
      <w:szCs w:val="44"/>
    </w:rPr>
  </w:style>
  <w:style w:type="paragraph" w:customStyle="1" w:styleId="hpeintroduction">
    <w:name w:val="hpe introduction"/>
    <w:basedOn w:val="hpebodycopyARIAL"/>
    <w:qFormat/>
    <w:rsid w:val="006E26A0"/>
    <w:pPr>
      <w:spacing w:after="110" w:line="320" w:lineRule="exact"/>
    </w:pPr>
    <w:rPr>
      <w:sz w:val="28"/>
      <w:szCs w:val="28"/>
    </w:rPr>
  </w:style>
  <w:style w:type="paragraph" w:customStyle="1" w:styleId="hpesubhead">
    <w:name w:val="hpe subhead"/>
    <w:basedOn w:val="hpebodycopyheader"/>
    <w:next w:val="hpebodycopyARIAL"/>
    <w:qFormat/>
    <w:rsid w:val="00523A51"/>
    <w:pPr>
      <w:spacing w:before="110"/>
    </w:pPr>
  </w:style>
  <w:style w:type="paragraph" w:customStyle="1" w:styleId="hpebodycopyheader">
    <w:name w:val="hpe body copy header"/>
    <w:basedOn w:val="hpebodycopyARIAL"/>
    <w:next w:val="hpebodycopyARIAL"/>
    <w:qFormat/>
    <w:rsid w:val="00603F44"/>
    <w:rPr>
      <w:rFonts w:ascii="Arial Bold" w:hAnsi="Arial Bold"/>
    </w:rPr>
  </w:style>
  <w:style w:type="paragraph" w:customStyle="1" w:styleId="hpecalloutheader">
    <w:name w:val="hpe callout header"/>
    <w:basedOn w:val="hpecallouttext"/>
    <w:next w:val="hpecallouttext"/>
    <w:qFormat/>
    <w:rsid w:val="00523A51"/>
    <w:rPr>
      <w:rFonts w:ascii="Arial Bold" w:hAnsi="Arial Bold"/>
    </w:rPr>
  </w:style>
  <w:style w:type="paragraph" w:customStyle="1" w:styleId="hpecallouttext">
    <w:name w:val="hpe callout text"/>
    <w:basedOn w:val="hpebodycopyARIAL"/>
    <w:qFormat/>
    <w:rsid w:val="00523A51"/>
    <w:pPr>
      <w:spacing w:line="170" w:lineRule="exact"/>
    </w:pPr>
    <w:rPr>
      <w:sz w:val="14"/>
      <w:szCs w:val="14"/>
    </w:rPr>
  </w:style>
  <w:style w:type="numbering" w:customStyle="1" w:styleId="bodybullets">
    <w:name w:val="body bullets"/>
    <w:uiPriority w:val="99"/>
    <w:rsid w:val="00364A6E"/>
    <w:pPr>
      <w:numPr>
        <w:numId w:val="1"/>
      </w:numPr>
    </w:pPr>
  </w:style>
  <w:style w:type="paragraph" w:customStyle="1" w:styleId="hpelearnmore">
    <w:name w:val="hpe learn more"/>
    <w:basedOn w:val="hpebodycopyheader"/>
    <w:qFormat/>
    <w:rsid w:val="008E5F5F"/>
  </w:style>
  <w:style w:type="paragraph" w:customStyle="1" w:styleId="hpecomurl">
    <w:name w:val="hpe.com url"/>
    <w:basedOn w:val="hpebodycopyheader"/>
    <w:qFormat/>
    <w:rsid w:val="00A26FBF"/>
    <w:rPr>
      <w:color w:val="000000" w:themeColor="text1"/>
      <w:u w:val="single"/>
    </w:rPr>
  </w:style>
  <w:style w:type="paragraph" w:customStyle="1" w:styleId="hpefooter">
    <w:name w:val="hpe footer"/>
    <w:basedOn w:val="hpebodycopyARIAL"/>
    <w:qFormat/>
    <w:rsid w:val="00E129CF"/>
    <w:pPr>
      <w:spacing w:line="190" w:lineRule="exact"/>
    </w:pPr>
    <w:rPr>
      <w:sz w:val="14"/>
      <w:szCs w:val="14"/>
    </w:rPr>
  </w:style>
  <w:style w:type="paragraph" w:styleId="BalloonText">
    <w:name w:val="Balloon Text"/>
    <w:basedOn w:val="Normal"/>
    <w:link w:val="BalloonTextChar"/>
    <w:uiPriority w:val="99"/>
    <w:semiHidden/>
    <w:unhideWhenUsed/>
    <w:rsid w:val="00700F85"/>
    <w:rPr>
      <w:rFonts w:ascii="Segoe UI" w:hAnsi="Segoe UI" w:cs="Segoe UI"/>
    </w:rPr>
  </w:style>
  <w:style w:type="character" w:customStyle="1" w:styleId="BalloonTextChar">
    <w:name w:val="Balloon Text Char"/>
    <w:basedOn w:val="DefaultParagraphFont"/>
    <w:link w:val="BalloonText"/>
    <w:uiPriority w:val="99"/>
    <w:semiHidden/>
    <w:rsid w:val="00700F85"/>
    <w:rPr>
      <w:rFonts w:ascii="Segoe UI" w:hAnsi="Segoe UI" w:cs="Segoe UI"/>
    </w:rPr>
  </w:style>
  <w:style w:type="paragraph" w:customStyle="1" w:styleId="hpebulletlist">
    <w:name w:val="hpe bullet list"/>
    <w:basedOn w:val="hpebodycopyARIAL"/>
    <w:qFormat/>
    <w:rsid w:val="00BE7F56"/>
    <w:pPr>
      <w:numPr>
        <w:numId w:val="8"/>
      </w:numPr>
    </w:pPr>
  </w:style>
  <w:style w:type="paragraph" w:customStyle="1" w:styleId="hpeheader">
    <w:name w:val="hpe header"/>
    <w:basedOn w:val="hpebodycopyARIAL"/>
    <w:qFormat/>
    <w:rsid w:val="00E129CF"/>
    <w:pPr>
      <w:spacing w:line="190" w:lineRule="exact"/>
    </w:pPr>
    <w:rPr>
      <w:sz w:val="14"/>
    </w:rPr>
  </w:style>
  <w:style w:type="paragraph" w:customStyle="1" w:styleId="hpebodycopyARIAL">
    <w:name w:val="hpe body copy ARIAL"/>
    <w:qFormat/>
    <w:rsid w:val="00603F44"/>
    <w:pPr>
      <w:spacing w:after="0" w:line="220" w:lineRule="exact"/>
    </w:pPr>
    <w:rPr>
      <w:rFonts w:ascii="Arial" w:hAnsi="Arial"/>
    </w:rPr>
  </w:style>
  <w:style w:type="paragraph" w:customStyle="1" w:styleId="hpeheadline2">
    <w:name w:val="hpe headline 2"/>
    <w:basedOn w:val="hpeheadline1"/>
    <w:qFormat/>
    <w:rsid w:val="00377CD5"/>
    <w:pPr>
      <w:framePr w:wrap="around" w:vAnchor="text" w:hAnchor="text" w:y="1"/>
      <w:suppressOverlap/>
    </w:pPr>
    <w:rPr>
      <w:rFonts w:asciiTheme="minorHAnsi" w:hAnsiTheme="minorHAnsi" w:cstheme="minorHAnsi"/>
    </w:rPr>
  </w:style>
  <w:style w:type="character" w:styleId="Hyperlink">
    <w:name w:val="Hyperlink"/>
    <w:aliases w:val="hpe"/>
    <w:uiPriority w:val="99"/>
    <w:unhideWhenUsed/>
    <w:rsid w:val="00A26FBF"/>
    <w:rPr>
      <w:color w:val="000000" w:themeColor="text1"/>
      <w:u w:val="single"/>
    </w:rPr>
  </w:style>
  <w:style w:type="character" w:styleId="FollowedHyperlink">
    <w:name w:val="FollowedHyperlink"/>
    <w:basedOn w:val="DefaultParagraphFont"/>
    <w:uiPriority w:val="99"/>
    <w:semiHidden/>
    <w:unhideWhenUsed/>
    <w:rsid w:val="00377CD5"/>
    <w:rPr>
      <w:color w:val="00B388" w:themeColor="followedHyperlink"/>
      <w:u w:val="none"/>
    </w:rPr>
  </w:style>
  <w:style w:type="character" w:styleId="IntenseEmphasis">
    <w:name w:val="Intense Emphasis"/>
    <w:basedOn w:val="DefaultParagraphFont"/>
    <w:uiPriority w:val="21"/>
    <w:qFormat/>
    <w:rsid w:val="00B7709C"/>
    <w:rPr>
      <w:b/>
      <w:bCs/>
      <w:i/>
      <w:iCs/>
      <w:color w:val="60798D" w:themeColor="accent1"/>
    </w:rPr>
  </w:style>
  <w:style w:type="table" w:styleId="MediumList1-Accent1">
    <w:name w:val="Medium List 1 Accent 1"/>
    <w:basedOn w:val="TableNormal"/>
    <w:uiPriority w:val="65"/>
    <w:rsid w:val="00B7709C"/>
    <w:pPr>
      <w:spacing w:after="0" w:line="240" w:lineRule="auto"/>
    </w:pPr>
    <w:rPr>
      <w:rFonts w:asciiTheme="minorHAnsi" w:eastAsiaTheme="minorEastAsia" w:hAnsiTheme="minorHAnsi"/>
      <w:color w:val="000000" w:themeColor="text1"/>
      <w:sz w:val="20"/>
      <w:szCs w:val="20"/>
      <w:lang w:eastAsia="ja-JP"/>
    </w:rPr>
    <w:tblPr>
      <w:tblStyleRowBandSize w:val="1"/>
      <w:tblStyleColBandSize w:val="1"/>
      <w:tblBorders>
        <w:top w:val="single" w:sz="8" w:space="0" w:color="60798D" w:themeColor="accent1"/>
        <w:bottom w:val="single" w:sz="8" w:space="0" w:color="60798D" w:themeColor="accent1"/>
      </w:tblBorders>
    </w:tblPr>
    <w:tblStylePr w:type="firstRow">
      <w:rPr>
        <w:rFonts w:asciiTheme="majorHAnsi" w:eastAsiaTheme="majorEastAsia" w:hAnsiTheme="majorHAnsi" w:cstheme="majorBidi"/>
      </w:rPr>
      <w:tblPr/>
      <w:tcPr>
        <w:tcBorders>
          <w:top w:val="nil"/>
          <w:bottom w:val="single" w:sz="8" w:space="0" w:color="60798D" w:themeColor="accent1"/>
        </w:tcBorders>
      </w:tcPr>
    </w:tblStylePr>
    <w:tblStylePr w:type="lastRow">
      <w:rPr>
        <w:b/>
        <w:bCs/>
        <w:color w:val="60798D" w:themeColor="text2"/>
      </w:rPr>
      <w:tblPr/>
      <w:tcPr>
        <w:tcBorders>
          <w:top w:val="single" w:sz="8" w:space="0" w:color="60798D" w:themeColor="accent1"/>
          <w:bottom w:val="single" w:sz="8" w:space="0" w:color="60798D" w:themeColor="accent1"/>
        </w:tcBorders>
      </w:tcPr>
    </w:tblStylePr>
    <w:tblStylePr w:type="firstCol">
      <w:rPr>
        <w:b/>
        <w:bCs/>
      </w:rPr>
    </w:tblStylePr>
    <w:tblStylePr w:type="lastCol">
      <w:rPr>
        <w:b/>
        <w:bCs/>
      </w:rPr>
      <w:tblPr/>
      <w:tcPr>
        <w:tcBorders>
          <w:top w:val="single" w:sz="8" w:space="0" w:color="60798D" w:themeColor="accent1"/>
          <w:bottom w:val="single" w:sz="8" w:space="0" w:color="60798D" w:themeColor="accent1"/>
        </w:tcBorders>
      </w:tcPr>
    </w:tblStylePr>
    <w:tblStylePr w:type="band1Vert">
      <w:tblPr/>
      <w:tcPr>
        <w:shd w:val="clear" w:color="auto" w:fill="D6DDE3" w:themeFill="accent1" w:themeFillTint="3F"/>
      </w:tcPr>
    </w:tblStylePr>
    <w:tblStylePr w:type="band1Horz">
      <w:tblPr/>
      <w:tcPr>
        <w:shd w:val="clear" w:color="auto" w:fill="D6DDE3" w:themeFill="accent1" w:themeFillTint="3F"/>
      </w:tcPr>
    </w:tblStylePr>
  </w:style>
  <w:style w:type="table" w:styleId="ListTable4-Accent4">
    <w:name w:val="List Table 4 Accent 4"/>
    <w:basedOn w:val="TableNormal"/>
    <w:uiPriority w:val="49"/>
    <w:rsid w:val="00B7709C"/>
    <w:pPr>
      <w:spacing w:after="0" w:line="240" w:lineRule="auto"/>
    </w:pPr>
    <w:tblPr>
      <w:tblStyleRowBandSize w:val="1"/>
      <w:tblStyleColBandSize w:val="1"/>
      <w:tblBorders>
        <w:top w:val="single" w:sz="4" w:space="0" w:color="38FFCE" w:themeColor="accent4" w:themeTint="99"/>
        <w:left w:val="single" w:sz="4" w:space="0" w:color="38FFCE" w:themeColor="accent4" w:themeTint="99"/>
        <w:bottom w:val="single" w:sz="4" w:space="0" w:color="38FFCE" w:themeColor="accent4" w:themeTint="99"/>
        <w:right w:val="single" w:sz="4" w:space="0" w:color="38FFCE" w:themeColor="accent4" w:themeTint="99"/>
        <w:insideH w:val="single" w:sz="4" w:space="0" w:color="38FFCE" w:themeColor="accent4" w:themeTint="99"/>
      </w:tblBorders>
    </w:tblPr>
    <w:tblStylePr w:type="firstRow">
      <w:rPr>
        <w:b/>
        <w:bCs/>
        <w:color w:val="FFFFFF" w:themeColor="background1"/>
      </w:rPr>
      <w:tblPr/>
      <w:tcPr>
        <w:tcBorders>
          <w:top w:val="single" w:sz="4" w:space="0" w:color="00B388" w:themeColor="accent4"/>
          <w:left w:val="single" w:sz="4" w:space="0" w:color="00B388" w:themeColor="accent4"/>
          <w:bottom w:val="single" w:sz="4" w:space="0" w:color="00B388" w:themeColor="accent4"/>
          <w:right w:val="single" w:sz="4" w:space="0" w:color="00B388" w:themeColor="accent4"/>
          <w:insideH w:val="nil"/>
        </w:tcBorders>
        <w:shd w:val="clear" w:color="auto" w:fill="00B388" w:themeFill="accent4"/>
      </w:tcPr>
    </w:tblStylePr>
    <w:tblStylePr w:type="lastRow">
      <w:rPr>
        <w:b/>
        <w:bCs/>
      </w:rPr>
      <w:tblPr/>
      <w:tcPr>
        <w:tcBorders>
          <w:top w:val="double" w:sz="4" w:space="0" w:color="38FFCE" w:themeColor="accent4" w:themeTint="99"/>
        </w:tcBorders>
      </w:tcPr>
    </w:tblStylePr>
    <w:tblStylePr w:type="firstCol">
      <w:rPr>
        <w:b/>
        <w:bCs/>
      </w:rPr>
    </w:tblStylePr>
    <w:tblStylePr w:type="lastCol">
      <w:rPr>
        <w:b/>
        <w:bCs/>
      </w:rPr>
    </w:tblStylePr>
    <w:tblStylePr w:type="band1Vert">
      <w:tblPr/>
      <w:tcPr>
        <w:shd w:val="clear" w:color="auto" w:fill="BCFFEE" w:themeFill="accent4" w:themeFillTint="33"/>
      </w:tcPr>
    </w:tblStylePr>
    <w:tblStylePr w:type="band1Horz">
      <w:tblPr/>
      <w:tcPr>
        <w:shd w:val="clear" w:color="auto" w:fill="BCFFEE" w:themeFill="accent4" w:themeFillTint="33"/>
      </w:tcPr>
    </w:tblStylePr>
  </w:style>
  <w:style w:type="table" w:styleId="ListTable3-Accent2">
    <w:name w:val="List Table 3 Accent 2"/>
    <w:basedOn w:val="TableNormal"/>
    <w:uiPriority w:val="48"/>
    <w:rsid w:val="00B7709C"/>
    <w:pPr>
      <w:spacing w:after="0" w:line="240" w:lineRule="auto"/>
    </w:pPr>
    <w:rPr>
      <w:rFonts w:asciiTheme="minorHAnsi" w:eastAsiaTheme="minorEastAsia" w:hAnsiTheme="minorHAnsi"/>
      <w:sz w:val="22"/>
      <w:szCs w:val="22"/>
    </w:rPr>
    <w:tblPr>
      <w:tblStyleRowBandSize w:val="1"/>
      <w:tblStyleColBandSize w:val="1"/>
      <w:tblBorders>
        <w:top w:val="single" w:sz="4" w:space="0" w:color="00B388" w:themeColor="accent2"/>
        <w:left w:val="single" w:sz="4" w:space="0" w:color="00B388" w:themeColor="accent2"/>
        <w:bottom w:val="single" w:sz="4" w:space="0" w:color="00B388" w:themeColor="accent2"/>
        <w:right w:val="single" w:sz="4" w:space="0" w:color="00B388" w:themeColor="accent2"/>
      </w:tblBorders>
    </w:tblPr>
    <w:tblStylePr w:type="firstRow">
      <w:rPr>
        <w:b/>
        <w:bCs/>
        <w:color w:val="FFFFFF" w:themeColor="background1"/>
      </w:rPr>
      <w:tblPr/>
      <w:tcPr>
        <w:shd w:val="clear" w:color="auto" w:fill="00B388" w:themeFill="accent2"/>
      </w:tcPr>
    </w:tblStylePr>
    <w:tblStylePr w:type="lastRow">
      <w:rPr>
        <w:b/>
        <w:bCs/>
      </w:rPr>
      <w:tblPr/>
      <w:tcPr>
        <w:tcBorders>
          <w:top w:val="double" w:sz="4" w:space="0" w:color="00B388"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B388" w:themeColor="accent2"/>
          <w:right w:val="single" w:sz="4" w:space="0" w:color="00B388" w:themeColor="accent2"/>
        </w:tcBorders>
      </w:tcPr>
    </w:tblStylePr>
    <w:tblStylePr w:type="band1Horz">
      <w:tblPr/>
      <w:tcPr>
        <w:tcBorders>
          <w:top w:val="single" w:sz="4" w:space="0" w:color="00B388" w:themeColor="accent2"/>
          <w:bottom w:val="single" w:sz="4" w:space="0" w:color="00B388"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B388" w:themeColor="accent2"/>
          <w:left w:val="nil"/>
        </w:tcBorders>
      </w:tcPr>
    </w:tblStylePr>
    <w:tblStylePr w:type="swCell">
      <w:tblPr/>
      <w:tcPr>
        <w:tcBorders>
          <w:top w:val="double" w:sz="4" w:space="0" w:color="00B388" w:themeColor="accent2"/>
          <w:right w:val="nil"/>
        </w:tcBorders>
      </w:tcPr>
    </w:tblStylePr>
  </w:style>
  <w:style w:type="paragraph" w:customStyle="1" w:styleId="hpebodycopy">
    <w:name w:val="hpe_body_copy"/>
    <w:basedOn w:val="Normal"/>
    <w:link w:val="hpebodycopyChar"/>
    <w:qFormat/>
    <w:rsid w:val="00B7709C"/>
  </w:style>
  <w:style w:type="character" w:customStyle="1" w:styleId="hpebodycopyChar">
    <w:name w:val="hpe_body_copy Char"/>
    <w:basedOn w:val="DefaultParagraphFont"/>
    <w:link w:val="hpebodycopy"/>
    <w:rsid w:val="00B7709C"/>
    <w:rPr>
      <w:rFonts w:ascii="Arial" w:hAnsi="Arial"/>
      <w:color w:val="000000" w:themeColor="text1"/>
      <w:szCs w:val="22"/>
    </w:rPr>
  </w:style>
  <w:style w:type="character" w:customStyle="1" w:styleId="hpegreen">
    <w:name w:val="hpe_green"/>
    <w:uiPriority w:val="1"/>
    <w:qFormat/>
    <w:rsid w:val="00B7709C"/>
    <w:rPr>
      <w:color w:val="01A982"/>
    </w:rPr>
  </w:style>
  <w:style w:type="paragraph" w:customStyle="1" w:styleId="hpetablebody">
    <w:name w:val="hpe_table_body"/>
    <w:basedOn w:val="Normal"/>
    <w:next w:val="hpebodycopy"/>
    <w:qFormat/>
    <w:rsid w:val="00B7709C"/>
    <w:pPr>
      <w:spacing w:after="0" w:line="200" w:lineRule="exact"/>
      <w:ind w:left="259"/>
    </w:pPr>
    <w:rPr>
      <w:sz w:val="16"/>
    </w:rPr>
  </w:style>
  <w:style w:type="paragraph" w:customStyle="1" w:styleId="hpeintrotableheads">
    <w:name w:val="hpe_intro_table_heads"/>
    <w:basedOn w:val="hpebodycopy"/>
    <w:qFormat/>
    <w:rsid w:val="00B7709C"/>
    <w:pPr>
      <w:spacing w:after="0" w:line="200" w:lineRule="exact"/>
    </w:pPr>
    <w:rPr>
      <w:b/>
      <w:sz w:val="16"/>
    </w:rPr>
  </w:style>
  <w:style w:type="table" w:customStyle="1" w:styleId="NPPTable">
    <w:name w:val="NPP_Table"/>
    <w:basedOn w:val="TableNormal"/>
    <w:uiPriority w:val="99"/>
    <w:rsid w:val="004D5393"/>
    <w:pPr>
      <w:spacing w:after="0" w:line="240" w:lineRule="auto"/>
      <w:contextualSpacing/>
    </w:pPr>
    <w:rPr>
      <w:rFonts w:asciiTheme="minorHAnsi" w:eastAsiaTheme="minorEastAsia" w:hAnsiTheme="minorHAnsi"/>
      <w:sz w:val="16"/>
      <w:szCs w:val="22"/>
    </w:rPr>
    <w:tblPr>
      <w:tblStyleRowBandSize w:val="1"/>
    </w:tblPr>
    <w:tblStylePr w:type="firstRow">
      <w:pPr>
        <w:wordWrap/>
        <w:spacing w:afterLines="0" w:after="120" w:afterAutospacing="0" w:line="240" w:lineRule="auto"/>
      </w:pPr>
      <w:rPr>
        <w:rFonts w:asciiTheme="minorHAnsi" w:hAnsiTheme="minorHAnsi"/>
        <w:b/>
        <w:i w:val="0"/>
        <w:sz w:val="16"/>
      </w:rPr>
      <w:tblPr/>
      <w:tcPr>
        <w:tcBorders>
          <w:bottom w:val="single" w:sz="18" w:space="0" w:color="01A980"/>
        </w:tcBorders>
      </w:tcPr>
    </w:tblStylePr>
    <w:tblStylePr w:type="lastRow">
      <w:tblPr/>
      <w:tcPr>
        <w:tcBorders>
          <w:top w:val="nil"/>
          <w:left w:val="nil"/>
          <w:bottom w:val="nil"/>
          <w:right w:val="nil"/>
          <w:insideH w:val="nil"/>
          <w:insideV w:val="nil"/>
          <w:tl2br w:val="nil"/>
          <w:tr2bl w:val="nil"/>
        </w:tcBorders>
      </w:tcPr>
    </w:tblStylePr>
    <w:tblStylePr w:type="band2Horz">
      <w:tblPr/>
      <w:tcPr>
        <w:shd w:val="clear" w:color="auto" w:fill="DEE4E9"/>
      </w:tcPr>
    </w:tblStylePr>
  </w:style>
  <w:style w:type="paragraph" w:customStyle="1" w:styleId="hpetableheads">
    <w:name w:val="hpe_table_heads"/>
    <w:basedOn w:val="hpetablebody"/>
    <w:qFormat/>
    <w:rsid w:val="008039F1"/>
    <w:rPr>
      <w:b/>
    </w:rPr>
  </w:style>
  <w:style w:type="character" w:styleId="PlaceholderText">
    <w:name w:val="Placeholder Text"/>
    <w:basedOn w:val="DefaultParagraphFont"/>
    <w:uiPriority w:val="99"/>
    <w:semiHidden/>
    <w:rsid w:val="00C0327F"/>
    <w:rPr>
      <w:color w:val="808080"/>
    </w:rPr>
  </w:style>
  <w:style w:type="paragraph" w:styleId="NoSpacing">
    <w:name w:val="No Spacing"/>
    <w:uiPriority w:val="1"/>
    <w:qFormat/>
    <w:rsid w:val="00780B65"/>
    <w:pPr>
      <w:spacing w:after="0" w:line="240" w:lineRule="auto"/>
    </w:pPr>
    <w:rPr>
      <w:rFonts w:asciiTheme="minorHAnsi" w:hAnsiTheme="minorHAnsi"/>
      <w:sz w:val="22"/>
      <w:szCs w:val="22"/>
    </w:rPr>
  </w:style>
  <w:style w:type="numbering" w:customStyle="1" w:styleId="hpbullets">
    <w:name w:val="hp_bullets"/>
    <w:uiPriority w:val="99"/>
    <w:rsid w:val="00F864EA"/>
    <w:pPr>
      <w:numPr>
        <w:numId w:val="9"/>
      </w:numPr>
    </w:pPr>
  </w:style>
  <w:style w:type="paragraph" w:customStyle="1" w:styleId="hpebulletslist">
    <w:name w:val="hpe_bullets_list"/>
    <w:basedOn w:val="Normal"/>
    <w:next w:val="Normal"/>
    <w:qFormat/>
    <w:rsid w:val="00F864EA"/>
    <w:pPr>
      <w:numPr>
        <w:numId w:val="10"/>
      </w:numPr>
      <w:spacing w:after="90"/>
    </w:pPr>
  </w:style>
  <w:style w:type="paragraph" w:customStyle="1" w:styleId="hpeintroheadline2">
    <w:name w:val="hpe_intro_headline_2"/>
    <w:basedOn w:val="Normal"/>
    <w:qFormat/>
    <w:rsid w:val="00F864EA"/>
    <w:pPr>
      <w:suppressAutoHyphens w:val="0"/>
      <w:spacing w:after="0" w:line="320" w:lineRule="exact"/>
    </w:pPr>
    <w:rPr>
      <w:b/>
      <w:bCs/>
      <w:sz w:val="32"/>
    </w:rPr>
  </w:style>
  <w:style w:type="paragraph" w:styleId="Header">
    <w:name w:val="header"/>
    <w:basedOn w:val="Normal"/>
    <w:link w:val="HeaderChar"/>
    <w:uiPriority w:val="99"/>
    <w:unhideWhenUsed/>
    <w:rsid w:val="00696F90"/>
    <w:pPr>
      <w:tabs>
        <w:tab w:val="center" w:pos="4680"/>
        <w:tab w:val="right" w:pos="9360"/>
      </w:tabs>
      <w:spacing w:after="0"/>
    </w:pPr>
  </w:style>
  <w:style w:type="character" w:customStyle="1" w:styleId="HeaderChar">
    <w:name w:val="Header Char"/>
    <w:basedOn w:val="DefaultParagraphFont"/>
    <w:link w:val="Header"/>
    <w:uiPriority w:val="99"/>
    <w:rsid w:val="00696F90"/>
    <w:rPr>
      <w:rFonts w:ascii="Arial" w:hAnsi="Arial"/>
      <w:color w:val="000000" w:themeColor="text1"/>
      <w:szCs w:val="22"/>
    </w:rPr>
  </w:style>
  <w:style w:type="table" w:customStyle="1" w:styleId="NPPTableStyle">
    <w:name w:val="NPP_TableStyle"/>
    <w:basedOn w:val="NPPTable"/>
    <w:uiPriority w:val="99"/>
    <w:rsid w:val="00BC0DE1"/>
    <w:rPr>
      <w:sz w:val="18"/>
    </w:rPr>
    <w:tblPr/>
    <w:tblStylePr w:type="firstRow">
      <w:pPr>
        <w:wordWrap/>
        <w:spacing w:afterLines="0" w:after="120" w:afterAutospacing="0" w:line="240" w:lineRule="auto"/>
      </w:pPr>
      <w:rPr>
        <w:rFonts w:asciiTheme="minorHAnsi" w:hAnsiTheme="minorHAnsi"/>
        <w:b/>
        <w:i w:val="0"/>
        <w:sz w:val="16"/>
      </w:rPr>
      <w:tblPr/>
      <w:tcPr>
        <w:tcBorders>
          <w:bottom w:val="single" w:sz="18" w:space="0" w:color="01A980"/>
        </w:tcBorders>
      </w:tcPr>
    </w:tblStylePr>
    <w:tblStylePr w:type="lastRow">
      <w:tblPr/>
      <w:tcPr>
        <w:tcBorders>
          <w:top w:val="nil"/>
          <w:left w:val="nil"/>
          <w:bottom w:val="nil"/>
          <w:right w:val="nil"/>
          <w:insideH w:val="nil"/>
          <w:insideV w:val="nil"/>
          <w:tl2br w:val="nil"/>
          <w:tr2bl w:val="nil"/>
        </w:tcBorders>
      </w:tcPr>
    </w:tblStylePr>
    <w:tblStylePr w:type="band2Horz">
      <w:tblPr/>
      <w:tcPr>
        <w:shd w:val="clear" w:color="auto" w:fill="DEE4E9"/>
      </w:tc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ormal"/>
    <w:uiPriority w:val="34"/>
    <w:qFormat/>
    <w:rsid w:val="00DF064E"/>
    <w:pPr>
      <w:ind w:left="720"/>
      <w:contextualSpacing/>
    </w:pPr>
  </w:style>
  <w:style w:type="paragraph" w:customStyle="1" w:styleId="TitlePHPDOCX">
    <w:name w:val="Title PHPDOCX"/>
    <w:basedOn w:val="Normal"/>
    <w:next w:val="Normal"/>
    <w:link w:val="TitleCarPHPDOCX"/>
    <w:uiPriority w:val="10"/>
    <w:qFormat/>
    <w:rsid w:val="00DF064E"/>
    <w:pPr>
      <w:pBdr>
        <w:bottom w:val="single" w:sz="8" w:space="4" w:color="60798D" w:themeColor="accent1"/>
      </w:pBdr>
      <w:spacing w:after="300"/>
      <w:contextualSpacing/>
    </w:pPr>
    <w:rPr>
      <w:rFonts w:asciiTheme="majorHAnsi" w:eastAsiaTheme="majorEastAsia" w:hAnsiTheme="majorHAnsi" w:cstheme="majorBidi"/>
      <w:color w:val="485A69"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485A69" w:themeColor="text2" w:themeShade="BF"/>
      <w:spacing w:val="5"/>
      <w:kern w:val="28"/>
      <w:sz w:val="52"/>
      <w:szCs w:val="52"/>
    </w:rPr>
  </w:style>
  <w:style w:type="paragraph" w:customStyle="1"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60798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60798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ormal"/>
    <w:link w:val="CommentTextCharPHPDOCX"/>
    <w:uiPriority w:val="99"/>
    <w:semiHidden/>
    <w:unhideWhenUsed/>
    <w:rsid w:val="00E139EA"/>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ormal"/>
    <w:link w:val="BalloonTextCharPHPDOCX"/>
    <w:uiPriority w:val="99"/>
    <w:semiHidden/>
    <w:unhideWhenUsed/>
    <w:rsid w:val="00E139EA"/>
    <w:pPr>
      <w:spacing w:after="0"/>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ormal"/>
    <w:link w:val="footnoteTextCarPHPDOCX"/>
    <w:uiPriority w:val="99"/>
    <w:semiHidden/>
    <w:unhideWhenUsed/>
    <w:rsid w:val="006E0FDA"/>
    <w:pPr>
      <w:spacing w:after="0"/>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ormal"/>
    <w:link w:val="endnoteTextCarPHPDOCX"/>
    <w:uiPriority w:val="99"/>
    <w:semiHidden/>
    <w:unhideWhenUsed/>
    <w:rsid w:val="006E0FDA"/>
    <w:pPr>
      <w:spacing w:after="0"/>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hp.com/go/3par" TargetMode="External"/><Relationship Id="rId18" Type="http://schemas.openxmlformats.org/officeDocument/2006/relationships/hyperlink" Target="http://www8.hp.com/us/en/products/data-storage/storeonce-rmc.html"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hyperlink" Target="http://h20195.www2.hp.com/v2/GetDocument.aspx?docname=4AA3-8083ENW"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hp.com/go/storeonce"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ula\Documents\hpe_word_templates\HPE_Basic_Template_Arial_093015\HPE_simple_US_Arial_0930201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19BE2264A544B4BB8C2BFB017C93DF5"/>
        <w:category>
          <w:name w:val="General"/>
          <w:gallery w:val="placeholder"/>
        </w:category>
        <w:types>
          <w:type w:val="bbPlcHdr"/>
        </w:types>
        <w:behaviors>
          <w:behavior w:val="content"/>
        </w:behaviors>
        <w:guid w:val="{67F0E016-A9DE-4574-A2F3-8891EF7C93E4}"/>
      </w:docPartPr>
      <w:docPartBody>
        <w:p w:rsidR="0027543E" w:rsidRDefault="00EB15DD" w:rsidP="00EB15DD">
          <w:pPr>
            <w:pStyle w:val="519BE2264A544B4BB8C2BFB017C93DF5"/>
          </w:pPr>
          <w:r w:rsidRPr="00D604C7">
            <w:rPr>
              <w:rStyle w:val="PlaceholderText"/>
              <w:b/>
            </w:rPr>
            <w:t>No data available.</w:t>
          </w:r>
        </w:p>
      </w:docPartBody>
    </w:docPart>
    <w:docPart>
      <w:docPartPr>
        <w:name w:val="3DBD37D33D7240D4BB7CCDF15C255F06"/>
        <w:category>
          <w:name w:val="General"/>
          <w:gallery w:val="placeholder"/>
        </w:category>
        <w:types>
          <w:type w:val="bbPlcHdr"/>
        </w:types>
        <w:behaviors>
          <w:behavior w:val="content"/>
        </w:behaviors>
        <w:guid w:val="{AC05650E-2D30-4772-9357-30F2BC267CBF}"/>
      </w:docPartPr>
      <w:docPartBody>
        <w:p w:rsidR="0027543E" w:rsidRDefault="00EB15DD" w:rsidP="00EB15DD">
          <w:pPr>
            <w:pStyle w:val="3DBD37D33D7240D4BB7CCDF15C255F06"/>
          </w:pPr>
          <w:r w:rsidRPr="00D604C7">
            <w:rPr>
              <w:rStyle w:val="PlaceholderText"/>
              <w:b/>
            </w:rPr>
            <w:t>No data available.</w:t>
          </w:r>
        </w:p>
      </w:docPartBody>
    </w:docPart>
    <w:docPart>
      <w:docPartPr>
        <w:name w:val="A15D1AE75EC64FB290745729CC1A6984"/>
        <w:category>
          <w:name w:val="General"/>
          <w:gallery w:val="placeholder"/>
        </w:category>
        <w:types>
          <w:type w:val="bbPlcHdr"/>
        </w:types>
        <w:behaviors>
          <w:behavior w:val="content"/>
        </w:behaviors>
        <w:guid w:val="{F543A183-9278-4640-A385-1D754E887445}"/>
      </w:docPartPr>
      <w:docPartBody>
        <w:p w:rsidR="0027543E" w:rsidRDefault="00EB15DD" w:rsidP="00EB15DD">
          <w:pPr>
            <w:pStyle w:val="A15D1AE75EC64FB290745729CC1A6984"/>
          </w:pPr>
          <w:r w:rsidRPr="00D604C7">
            <w:rPr>
              <w:rStyle w:val="PlaceholderText"/>
              <w:b/>
            </w:rPr>
            <w:t>No data available.</w:t>
          </w:r>
        </w:p>
      </w:docPartBody>
    </w:docPart>
    <w:docPart>
      <w:docPartPr>
        <w:name w:val="F7BB6E98BE0A4755A523E00C6A1B9390"/>
        <w:category>
          <w:name w:val="General"/>
          <w:gallery w:val="placeholder"/>
        </w:category>
        <w:types>
          <w:type w:val="bbPlcHdr"/>
        </w:types>
        <w:behaviors>
          <w:behavior w:val="content"/>
        </w:behaviors>
        <w:guid w:val="{2B2A41A8-8AD5-42FE-A47F-9C1FBB67107B}"/>
      </w:docPartPr>
      <w:docPartBody>
        <w:p w:rsidR="009859FB" w:rsidRDefault="0027543E" w:rsidP="0027543E">
          <w:pPr>
            <w:pStyle w:val="F7BB6E98BE0A4755A523E00C6A1B9390"/>
          </w:pPr>
          <w:r w:rsidRPr="00E27248">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HP Simplified">
    <w:panose1 w:val="020B0604020204020204"/>
    <w:charset w:val="00"/>
    <w:family w:val="swiss"/>
    <w:pitch w:val="variable"/>
    <w:sig w:usb0="A00000AF" w:usb1="5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5DD"/>
    <w:rsid w:val="0027543E"/>
    <w:rsid w:val="002F6C4F"/>
    <w:rsid w:val="003956B3"/>
    <w:rsid w:val="003C0EE3"/>
    <w:rsid w:val="006F345A"/>
    <w:rsid w:val="009859FB"/>
    <w:rsid w:val="00B36AAA"/>
    <w:rsid w:val="00EB1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7543E"/>
    <w:rPr>
      <w:color w:val="808080"/>
    </w:rPr>
  </w:style>
  <w:style w:type="paragraph" w:customStyle="1" w:styleId="9357455BE7504E1AAB87C56B51B403C0">
    <w:name w:val="9357455BE7504E1AAB87C56B51B403C0"/>
    <w:rsid w:val="00EB15DD"/>
  </w:style>
  <w:style w:type="paragraph" w:customStyle="1" w:styleId="CCD62CC46DD0426FAB5F60F2D13291F7">
    <w:name w:val="CCD62CC46DD0426FAB5F60F2D13291F7"/>
    <w:rsid w:val="00EB15DD"/>
  </w:style>
  <w:style w:type="paragraph" w:customStyle="1" w:styleId="2996B92F8C654E298992F4028C888047">
    <w:name w:val="2996B92F8C654E298992F4028C888047"/>
    <w:rsid w:val="00EB15DD"/>
  </w:style>
  <w:style w:type="paragraph" w:customStyle="1" w:styleId="B04D1A3B832542BE8196B61E1067AB5A">
    <w:name w:val="B04D1A3B832542BE8196B61E1067AB5A"/>
    <w:rsid w:val="00EB15DD"/>
  </w:style>
  <w:style w:type="paragraph" w:customStyle="1" w:styleId="23AA6AAE9ADB4E4AA1A17E534263FE6F">
    <w:name w:val="23AA6AAE9ADB4E4AA1A17E534263FE6F"/>
    <w:rsid w:val="00EB15DD"/>
  </w:style>
  <w:style w:type="paragraph" w:customStyle="1" w:styleId="759344CF4C6C48718FB227BDDDA0A359">
    <w:name w:val="759344CF4C6C48718FB227BDDDA0A359"/>
    <w:rsid w:val="00EB15DD"/>
  </w:style>
  <w:style w:type="paragraph" w:customStyle="1" w:styleId="B0D77C742B8A4913976652219D703CD6">
    <w:name w:val="B0D77C742B8A4913976652219D703CD6"/>
    <w:rsid w:val="00EB15DD"/>
  </w:style>
  <w:style w:type="paragraph" w:customStyle="1" w:styleId="2D99CFCB980E49EB8D3DA31EBF3634E7">
    <w:name w:val="2D99CFCB980E49EB8D3DA31EBF3634E7"/>
    <w:rsid w:val="00EB15DD"/>
  </w:style>
  <w:style w:type="paragraph" w:customStyle="1" w:styleId="47CF5B26AFF94703BC681355C66FD917">
    <w:name w:val="47CF5B26AFF94703BC681355C66FD917"/>
    <w:rsid w:val="00EB15DD"/>
  </w:style>
  <w:style w:type="paragraph" w:customStyle="1" w:styleId="C1EC7ADF3C604C84BC4CC0C207F7E32F">
    <w:name w:val="C1EC7ADF3C604C84BC4CC0C207F7E32F"/>
    <w:rsid w:val="00EB15DD"/>
  </w:style>
  <w:style w:type="paragraph" w:customStyle="1" w:styleId="55CA8013D52140769F5FBC6E9D2EAFF8">
    <w:name w:val="55CA8013D52140769F5FBC6E9D2EAFF8"/>
    <w:rsid w:val="00EB15DD"/>
  </w:style>
  <w:style w:type="paragraph" w:customStyle="1" w:styleId="3A1B3910ACD14FD59B91F49BF50B8FDC">
    <w:name w:val="3A1B3910ACD14FD59B91F49BF50B8FDC"/>
    <w:rsid w:val="00EB15DD"/>
  </w:style>
  <w:style w:type="paragraph" w:customStyle="1" w:styleId="2B283DF1D79D41808DE900092A4A0101">
    <w:name w:val="2B283DF1D79D41808DE900092A4A0101"/>
    <w:rsid w:val="00EB15DD"/>
  </w:style>
  <w:style w:type="paragraph" w:customStyle="1" w:styleId="1562D42CE7D145B5905A4371491CDF74">
    <w:name w:val="1562D42CE7D145B5905A4371491CDF74"/>
    <w:rsid w:val="00EB15DD"/>
  </w:style>
  <w:style w:type="paragraph" w:customStyle="1" w:styleId="65A6553A99BC47A5B4F6912FD2B86CB5">
    <w:name w:val="65A6553A99BC47A5B4F6912FD2B86CB5"/>
    <w:rsid w:val="00EB15DD"/>
  </w:style>
  <w:style w:type="paragraph" w:customStyle="1" w:styleId="737E46DF886F45A18762D330FDA8763F">
    <w:name w:val="737E46DF886F45A18762D330FDA8763F"/>
    <w:rsid w:val="00EB15DD"/>
  </w:style>
  <w:style w:type="paragraph" w:customStyle="1" w:styleId="95B0F31825EA411CB635BE83DD0ADC1C">
    <w:name w:val="95B0F31825EA411CB635BE83DD0ADC1C"/>
    <w:rsid w:val="00EB15DD"/>
  </w:style>
  <w:style w:type="paragraph" w:customStyle="1" w:styleId="06A82B3D6E6846E69F635ADF47F07B3B">
    <w:name w:val="06A82B3D6E6846E69F635ADF47F07B3B"/>
    <w:rsid w:val="00EB15DD"/>
  </w:style>
  <w:style w:type="paragraph" w:customStyle="1" w:styleId="B7923C6EF6AC4DE3839181D145CC62F3">
    <w:name w:val="B7923C6EF6AC4DE3839181D145CC62F3"/>
    <w:rsid w:val="00EB15DD"/>
  </w:style>
  <w:style w:type="paragraph" w:customStyle="1" w:styleId="AAFB71126C334C2CAE4BD50FFABC1D70">
    <w:name w:val="AAFB71126C334C2CAE4BD50FFABC1D70"/>
    <w:rsid w:val="00EB15DD"/>
  </w:style>
  <w:style w:type="paragraph" w:customStyle="1" w:styleId="7FF4CF5B40E94A639421C75991B8CE21">
    <w:name w:val="7FF4CF5B40E94A639421C75991B8CE21"/>
    <w:rsid w:val="00EB15DD"/>
  </w:style>
  <w:style w:type="paragraph" w:customStyle="1" w:styleId="BF0CC702F97F48EBA30EBAD4FFB86859">
    <w:name w:val="BF0CC702F97F48EBA30EBAD4FFB86859"/>
    <w:rsid w:val="00EB15DD"/>
  </w:style>
  <w:style w:type="paragraph" w:customStyle="1" w:styleId="AFB7A5E84E0A4D5FB10879FC9F9DE909">
    <w:name w:val="AFB7A5E84E0A4D5FB10879FC9F9DE909"/>
    <w:rsid w:val="00EB15DD"/>
  </w:style>
  <w:style w:type="paragraph" w:customStyle="1" w:styleId="4B93A7E37E3B4F63BA63416936F00B3D">
    <w:name w:val="4B93A7E37E3B4F63BA63416936F00B3D"/>
    <w:rsid w:val="00EB15DD"/>
  </w:style>
  <w:style w:type="paragraph" w:customStyle="1" w:styleId="29D4B603EA1E406F9F7BE90472F61455">
    <w:name w:val="29D4B603EA1E406F9F7BE90472F61455"/>
    <w:rsid w:val="00EB15DD"/>
  </w:style>
  <w:style w:type="paragraph" w:customStyle="1" w:styleId="884AB480A5D74CAAA1792FA153AAA502">
    <w:name w:val="884AB480A5D74CAAA1792FA153AAA502"/>
    <w:rsid w:val="00EB15DD"/>
  </w:style>
  <w:style w:type="paragraph" w:customStyle="1" w:styleId="A8A40F2E5D1447A0BDEE474DA39E8953">
    <w:name w:val="A8A40F2E5D1447A0BDEE474DA39E8953"/>
    <w:rsid w:val="00EB15DD"/>
  </w:style>
  <w:style w:type="paragraph" w:customStyle="1" w:styleId="7A1CF65E092243E7A18C0C8D98ECDAFE">
    <w:name w:val="7A1CF65E092243E7A18C0C8D98ECDAFE"/>
    <w:rsid w:val="00EB15DD"/>
  </w:style>
  <w:style w:type="paragraph" w:customStyle="1" w:styleId="E71692E5D37544FC9DD0B5B23ACF220C">
    <w:name w:val="E71692E5D37544FC9DD0B5B23ACF220C"/>
    <w:rsid w:val="00EB15DD"/>
  </w:style>
  <w:style w:type="paragraph" w:customStyle="1" w:styleId="41E7D79BBFA34CBC847D824B01C8BCE6">
    <w:name w:val="41E7D79BBFA34CBC847D824B01C8BCE6"/>
    <w:rsid w:val="00EB15DD"/>
  </w:style>
  <w:style w:type="paragraph" w:customStyle="1" w:styleId="43770561DACF4C1BB5092C9484A0A514">
    <w:name w:val="43770561DACF4C1BB5092C9484A0A514"/>
    <w:rsid w:val="00EB15DD"/>
  </w:style>
  <w:style w:type="paragraph" w:customStyle="1" w:styleId="353C53B0C6B24BB788EFED319E6FF94A">
    <w:name w:val="353C53B0C6B24BB788EFED319E6FF94A"/>
    <w:rsid w:val="00EB15DD"/>
  </w:style>
  <w:style w:type="paragraph" w:customStyle="1" w:styleId="F1902EF4251E434E95522D318ABFED17">
    <w:name w:val="F1902EF4251E434E95522D318ABFED17"/>
    <w:rsid w:val="00EB15DD"/>
  </w:style>
  <w:style w:type="paragraph" w:customStyle="1" w:styleId="BFAE006525EF4C5B8473A4092196E3BB">
    <w:name w:val="BFAE006525EF4C5B8473A4092196E3BB"/>
    <w:rsid w:val="00EB15DD"/>
  </w:style>
  <w:style w:type="paragraph" w:customStyle="1" w:styleId="513A024D931D45E5AAA4C9311B5D3E12">
    <w:name w:val="513A024D931D45E5AAA4C9311B5D3E12"/>
    <w:rsid w:val="00EB15DD"/>
  </w:style>
  <w:style w:type="paragraph" w:customStyle="1" w:styleId="09C688BBAB8646B6B6AAA25B6BE5835A">
    <w:name w:val="09C688BBAB8646B6B6AAA25B6BE5835A"/>
    <w:rsid w:val="00EB15DD"/>
  </w:style>
  <w:style w:type="paragraph" w:customStyle="1" w:styleId="519BE2264A544B4BB8C2BFB017C93DF5">
    <w:name w:val="519BE2264A544B4BB8C2BFB017C93DF5"/>
    <w:rsid w:val="00EB15DD"/>
  </w:style>
  <w:style w:type="paragraph" w:customStyle="1" w:styleId="3DBD37D33D7240D4BB7CCDF15C255F06">
    <w:name w:val="3DBD37D33D7240D4BB7CCDF15C255F06"/>
    <w:rsid w:val="00EB15DD"/>
  </w:style>
  <w:style w:type="paragraph" w:customStyle="1" w:styleId="A15D1AE75EC64FB290745729CC1A6984">
    <w:name w:val="A15D1AE75EC64FB290745729CC1A6984"/>
    <w:rsid w:val="00EB15DD"/>
  </w:style>
  <w:style w:type="paragraph" w:customStyle="1" w:styleId="B75646F9B6F9427C89D57D34FDDB9B24">
    <w:name w:val="B75646F9B6F9427C89D57D34FDDB9B24"/>
    <w:rsid w:val="00EB15DD"/>
  </w:style>
  <w:style w:type="paragraph" w:customStyle="1" w:styleId="96C5D10A7DBB4418BCD9AF2A57B3ED04">
    <w:name w:val="96C5D10A7DBB4418BCD9AF2A57B3ED04"/>
    <w:rsid w:val="00EB15DD"/>
  </w:style>
  <w:style w:type="paragraph" w:customStyle="1" w:styleId="470BEA2741EE44BB8FE474DC8C273D2F">
    <w:name w:val="470BEA2741EE44BB8FE474DC8C273D2F"/>
    <w:rsid w:val="00EB15DD"/>
  </w:style>
  <w:style w:type="paragraph" w:customStyle="1" w:styleId="E05C32B1021E4D9180654F978FBF5CF5">
    <w:name w:val="E05C32B1021E4D9180654F978FBF5CF5"/>
    <w:rsid w:val="00EB15DD"/>
  </w:style>
  <w:style w:type="paragraph" w:customStyle="1" w:styleId="B8F6ACF1692F4A789BCD7319C962D295">
    <w:name w:val="B8F6ACF1692F4A789BCD7319C962D295"/>
    <w:rsid w:val="00EB15DD"/>
  </w:style>
  <w:style w:type="paragraph" w:customStyle="1" w:styleId="BD8287B67929480F974472F58E9A70AE">
    <w:name w:val="BD8287B67929480F974472F58E9A70AE"/>
    <w:rsid w:val="00EB15DD"/>
  </w:style>
  <w:style w:type="paragraph" w:customStyle="1" w:styleId="F7BB6E98BE0A4755A523E00C6A1B9390">
    <w:name w:val="F7BB6E98BE0A4755A523E00C6A1B9390"/>
    <w:rsid w:val="002754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HPE 052120015">
      <a:dk1>
        <a:sysClr val="windowText" lastClr="000000"/>
      </a:dk1>
      <a:lt1>
        <a:sysClr val="window" lastClr="FFFFFF"/>
      </a:lt1>
      <a:dk2>
        <a:srgbClr val="60798D"/>
      </a:dk2>
      <a:lt2>
        <a:srgbClr val="00B388"/>
      </a:lt2>
      <a:accent1>
        <a:srgbClr val="60798D"/>
      </a:accent1>
      <a:accent2>
        <a:srgbClr val="00B388"/>
      </a:accent2>
      <a:accent3>
        <a:srgbClr val="60798D"/>
      </a:accent3>
      <a:accent4>
        <a:srgbClr val="00B388"/>
      </a:accent4>
      <a:accent5>
        <a:srgbClr val="60798D"/>
      </a:accent5>
      <a:accent6>
        <a:srgbClr val="00B388"/>
      </a:accent6>
      <a:hlink>
        <a:srgbClr val="00B388"/>
      </a:hlink>
      <a:folHlink>
        <a:srgbClr val="00B388"/>
      </a:folHlink>
    </a:clrScheme>
    <a:fontScheme name="Custom 3">
      <a:majorFont>
        <a:latin typeface="Arial Bold"/>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HPE_simple_US_Arial_09302015.dotx</Template>
  <TotalTime>0</TotalTime>
  <Pages>5</Pages>
  <Words>902</Words>
  <Characters>5142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2016-04-20T03:20:00Z</dcterms:created>
  <dcterms:modified xsi:type="dcterms:W3CDTF">2016-06-30T16:41:00Z</dcterms:modified>
</cp:coreProperties>
</file>